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FA" w:rsidRDefault="00EF08C4">
      <w:pPr>
        <w:rPr>
          <w:rFonts w:ascii="黑体" w:eastAsia="黑体" w:hAnsi="黑体" w:cs="黑体"/>
        </w:rPr>
      </w:pPr>
      <w:bookmarkStart w:id="0" w:name="_GoBack"/>
      <w:bookmarkEnd w:id="0"/>
      <w:r>
        <w:rPr>
          <w:rFonts w:ascii="黑体" w:eastAsia="黑体" w:hAnsi="黑体" w:cs="黑体" w:hint="eastAsia"/>
        </w:rPr>
        <w:t>附件2</w:t>
      </w:r>
    </w:p>
    <w:p w:rsidR="008B00FA" w:rsidRDefault="008B00FA">
      <w:pPr>
        <w:rPr>
          <w:rFonts w:ascii="仿宋_GB2312" w:hAnsi="仿宋_GB2312" w:cs="仿宋_GB2312"/>
        </w:rPr>
      </w:pPr>
    </w:p>
    <w:p w:rsidR="008B00FA" w:rsidRDefault="00EF08C4">
      <w:pPr>
        <w:spacing w:line="720" w:lineRule="exact"/>
        <w:jc w:val="center"/>
        <w:textAlignment w:val="baseline"/>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自治区企业技术中心认定评价指标体系及说明</w:t>
      </w:r>
    </w:p>
    <w:p w:rsidR="008B00FA" w:rsidRDefault="008B00FA">
      <w:pPr>
        <w:widowControl/>
        <w:jc w:val="left"/>
        <w:rPr>
          <w:rFonts w:ascii="仿宋_GB2312" w:hAnsi="仿宋_GB2312" w:cs="仿宋_GB2312"/>
        </w:rPr>
      </w:pPr>
    </w:p>
    <w:p w:rsidR="008B00FA" w:rsidRDefault="00EF08C4" w:rsidP="00B2694F">
      <w:pPr>
        <w:widowControl/>
        <w:ind w:firstLineChars="200" w:firstLine="615"/>
        <w:jc w:val="left"/>
        <w:rPr>
          <w:rFonts w:ascii="黑体" w:eastAsia="黑体" w:hAnsi="黑体" w:cs="黑体"/>
          <w:bCs/>
          <w:kern w:val="0"/>
        </w:rPr>
      </w:pPr>
      <w:r>
        <w:rPr>
          <w:rFonts w:ascii="黑体" w:eastAsia="黑体" w:hAnsi="黑体" w:cs="黑体" w:hint="eastAsia"/>
          <w:bCs/>
          <w:kern w:val="0"/>
        </w:rPr>
        <w:t xml:space="preserve">一、评价指标及评价基本要求 </w:t>
      </w:r>
    </w:p>
    <w:tbl>
      <w:tblPr>
        <w:tblW w:w="0" w:type="auto"/>
        <w:tblInd w:w="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63"/>
        <w:gridCol w:w="937"/>
        <w:gridCol w:w="825"/>
        <w:gridCol w:w="3314"/>
        <w:gridCol w:w="819"/>
        <w:gridCol w:w="805"/>
        <w:gridCol w:w="950"/>
      </w:tblGrid>
      <w:tr w:rsidR="008B00FA">
        <w:trPr>
          <w:trHeight w:val="966"/>
        </w:trPr>
        <w:tc>
          <w:tcPr>
            <w:tcW w:w="963"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一级</w:t>
            </w:r>
          </w:p>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指标</w:t>
            </w:r>
          </w:p>
        </w:tc>
        <w:tc>
          <w:tcPr>
            <w:tcW w:w="937"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 xml:space="preserve">二级 </w:t>
            </w:r>
            <w:r>
              <w:rPr>
                <w:rFonts w:ascii="仿宋_GB2312" w:hAnsi="仿宋_GB2312" w:cs="仿宋_GB2312" w:hint="eastAsia"/>
                <w:kern w:val="0"/>
                <w:sz w:val="24"/>
                <w:szCs w:val="24"/>
              </w:rPr>
              <w:br/>
              <w:t>指标</w:t>
            </w:r>
          </w:p>
        </w:tc>
        <w:tc>
          <w:tcPr>
            <w:tcW w:w="82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 xml:space="preserve">权重 </w:t>
            </w:r>
            <w:r>
              <w:rPr>
                <w:rFonts w:ascii="仿宋_GB2312" w:hAnsi="仿宋_GB2312" w:cs="仿宋_GB2312" w:hint="eastAsia"/>
                <w:kern w:val="0"/>
                <w:sz w:val="24"/>
                <w:szCs w:val="24"/>
              </w:rPr>
              <w:br/>
              <w:t>(分)</w:t>
            </w:r>
          </w:p>
        </w:tc>
        <w:tc>
          <w:tcPr>
            <w:tcW w:w="3314"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三级指标</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权重(分)</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单位</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 xml:space="preserve">基本 </w:t>
            </w:r>
            <w:r>
              <w:rPr>
                <w:rFonts w:ascii="仿宋_GB2312" w:hAnsi="仿宋_GB2312" w:cs="仿宋_GB2312" w:hint="eastAsia"/>
                <w:kern w:val="0"/>
                <w:sz w:val="24"/>
                <w:szCs w:val="24"/>
              </w:rPr>
              <w:br/>
              <w:t>要求</w:t>
            </w:r>
          </w:p>
        </w:tc>
      </w:tr>
      <w:tr w:rsidR="008B00FA">
        <w:trPr>
          <w:trHeight w:val="564"/>
        </w:trPr>
        <w:tc>
          <w:tcPr>
            <w:tcW w:w="963"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创</w:t>
            </w:r>
          </w:p>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新</w:t>
            </w:r>
          </w:p>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机</w:t>
            </w:r>
          </w:p>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制</w:t>
            </w:r>
          </w:p>
        </w:tc>
        <w:tc>
          <w:tcPr>
            <w:tcW w:w="937"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创新投入机制</w:t>
            </w:r>
          </w:p>
        </w:tc>
        <w:tc>
          <w:tcPr>
            <w:tcW w:w="825"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22</w:t>
            </w: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1.研究与试验发展经费支出总额</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10</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万元</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≥200</w:t>
            </w:r>
          </w:p>
        </w:tc>
      </w:tr>
      <w:tr w:rsidR="008B00FA">
        <w:trPr>
          <w:trHeight w:val="564"/>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2.研究与试验发展经费支出总额占主营业务收入的比重</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7</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≥2</w:t>
            </w:r>
          </w:p>
        </w:tc>
      </w:tr>
      <w:tr w:rsidR="008B00FA">
        <w:trPr>
          <w:trHeight w:val="340"/>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3.研究与试验发展经费支出比例（</w:t>
            </w:r>
            <w:r>
              <w:rPr>
                <w:rFonts w:ascii="仿宋_GB2312" w:hAnsi="仿宋_GB2312" w:cs="仿宋_GB2312"/>
                <w:kern w:val="0"/>
                <w:sz w:val="24"/>
                <w:szCs w:val="24"/>
              </w:rPr>
              <w:t>R&amp;D</w:t>
            </w:r>
            <w:r>
              <w:rPr>
                <w:rFonts w:ascii="仿宋_GB2312" w:hAnsi="仿宋_GB2312" w:cs="仿宋_GB2312" w:hint="eastAsia"/>
                <w:kern w:val="0"/>
                <w:sz w:val="24"/>
                <w:szCs w:val="24"/>
              </w:rPr>
              <w:t>强度）比上年度增长</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5</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百分点</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≥0</w:t>
            </w:r>
          </w:p>
        </w:tc>
      </w:tr>
      <w:tr w:rsidR="008B00FA">
        <w:trPr>
          <w:trHeight w:val="622"/>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人才激励机制</w:t>
            </w:r>
          </w:p>
        </w:tc>
        <w:tc>
          <w:tcPr>
            <w:tcW w:w="825"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6</w:t>
            </w: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 xml:space="preserve">4.中心年人均收入与企业年人均收入之比 </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3</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≥120</w:t>
            </w:r>
          </w:p>
        </w:tc>
      </w:tr>
      <w:tr w:rsidR="008B00FA">
        <w:trPr>
          <w:trHeight w:val="560"/>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5.中心人员培训费占中心人员总收入的比重</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3</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≥2</w:t>
            </w:r>
          </w:p>
        </w:tc>
      </w:tr>
      <w:tr w:rsidR="008B00FA">
        <w:trPr>
          <w:trHeight w:val="696"/>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创新合作机制</w:t>
            </w:r>
          </w:p>
        </w:tc>
        <w:tc>
          <w:tcPr>
            <w:tcW w:w="825"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6</w:t>
            </w: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6.来中心从事技术开发工作的外部专家数</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3</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人月</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≥2</w:t>
            </w:r>
          </w:p>
        </w:tc>
      </w:tr>
      <w:tr w:rsidR="008B00FA">
        <w:trPr>
          <w:trHeight w:val="618"/>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7.对外合作项目占全部开发项目数的比重</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3</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≥5</w:t>
            </w:r>
          </w:p>
        </w:tc>
      </w:tr>
      <w:tr w:rsidR="008B00FA">
        <w:trPr>
          <w:trHeight w:val="615"/>
        </w:trPr>
        <w:tc>
          <w:tcPr>
            <w:tcW w:w="963" w:type="dxa"/>
            <w:vMerge w:val="restart"/>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技术与人才</w:t>
            </w:r>
          </w:p>
        </w:tc>
        <w:tc>
          <w:tcPr>
            <w:tcW w:w="937"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创新队伍建设</w:t>
            </w:r>
          </w:p>
        </w:tc>
        <w:tc>
          <w:tcPr>
            <w:tcW w:w="825"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16</w:t>
            </w: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8.企业研究与试验发展人员数量</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6</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人</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≥40</w:t>
            </w:r>
          </w:p>
        </w:tc>
      </w:tr>
      <w:tr w:rsidR="008B00FA">
        <w:trPr>
          <w:trHeight w:val="615"/>
        </w:trPr>
        <w:tc>
          <w:tcPr>
            <w:tcW w:w="963" w:type="dxa"/>
            <w:vMerge/>
            <w:noWrap/>
            <w:vAlign w:val="center"/>
          </w:tcPr>
          <w:p w:rsidR="008B00FA" w:rsidRDefault="008B00FA">
            <w:pPr>
              <w:widowControl/>
              <w:spacing w:line="400" w:lineRule="exact"/>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kern w:val="0"/>
                <w:sz w:val="24"/>
                <w:szCs w:val="24"/>
              </w:rPr>
            </w:pPr>
            <w:r>
              <w:rPr>
                <w:rFonts w:ascii="仿宋_GB2312" w:hAnsi="仿宋_GB2312" w:cs="仿宋_GB2312" w:hint="eastAsia"/>
                <w:kern w:val="0"/>
                <w:sz w:val="24"/>
                <w:szCs w:val="24"/>
              </w:rPr>
              <w:t xml:space="preserve">9.企业研究与试验发展人员占职工人数的比重 </w:t>
            </w:r>
          </w:p>
        </w:tc>
        <w:tc>
          <w:tcPr>
            <w:tcW w:w="819"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5</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≥2</w:t>
            </w:r>
          </w:p>
        </w:tc>
      </w:tr>
      <w:tr w:rsidR="008B00FA">
        <w:trPr>
          <w:trHeight w:val="411"/>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10.技术中心拥有的高级专家及博士人数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5</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人</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w:t>
            </w:r>
            <w:r>
              <w:rPr>
                <w:rFonts w:ascii="仿宋_GB2312" w:hAnsi="仿宋_GB2312" w:cs="仿宋_GB2312" w:hint="eastAsia"/>
                <w:color w:val="000000"/>
                <w:kern w:val="0"/>
                <w:sz w:val="24"/>
                <w:szCs w:val="24"/>
              </w:rPr>
              <w:t>1</w:t>
            </w:r>
          </w:p>
        </w:tc>
      </w:tr>
      <w:tr w:rsidR="008B00FA">
        <w:trPr>
          <w:trHeight w:val="340"/>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创新条件建设</w:t>
            </w:r>
          </w:p>
        </w:tc>
        <w:tc>
          <w:tcPr>
            <w:tcW w:w="82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8</w:t>
            </w:r>
          </w:p>
        </w:tc>
        <w:tc>
          <w:tcPr>
            <w:tcW w:w="3314" w:type="dxa"/>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11.企业技术开发仪器设备原值</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8</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万元</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w:t>
            </w:r>
            <w:r>
              <w:rPr>
                <w:rFonts w:ascii="仿宋_GB2312" w:hAnsi="仿宋_GB2312" w:cs="仿宋_GB2312" w:hint="eastAsia"/>
                <w:color w:val="000000"/>
                <w:kern w:val="0"/>
                <w:sz w:val="24"/>
                <w:szCs w:val="24"/>
              </w:rPr>
              <w:t>600</w:t>
            </w:r>
          </w:p>
        </w:tc>
      </w:tr>
      <w:tr w:rsidR="008B00FA">
        <w:trPr>
          <w:trHeight w:val="385"/>
        </w:trPr>
        <w:tc>
          <w:tcPr>
            <w:tcW w:w="963" w:type="dxa"/>
            <w:vMerge/>
            <w:noWrap/>
          </w:tcPr>
          <w:p w:rsidR="008B00FA" w:rsidRDefault="008B00FA">
            <w:pPr>
              <w:spacing w:line="400" w:lineRule="exact"/>
              <w:jc w:val="center"/>
              <w:rPr>
                <w:rFonts w:ascii="仿宋_GB2312" w:hAnsi="仿宋_GB2312" w:cs="仿宋_GB2312"/>
                <w:kern w:val="0"/>
                <w:sz w:val="24"/>
                <w:szCs w:val="24"/>
              </w:rPr>
            </w:pPr>
          </w:p>
        </w:tc>
        <w:tc>
          <w:tcPr>
            <w:tcW w:w="937"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技术积</w:t>
            </w:r>
            <w:r>
              <w:rPr>
                <w:rFonts w:ascii="仿宋_GB2312" w:hAnsi="仿宋_GB2312" w:cs="仿宋_GB2312" w:hint="eastAsia"/>
                <w:kern w:val="0"/>
                <w:sz w:val="24"/>
                <w:szCs w:val="24"/>
              </w:rPr>
              <w:lastRenderedPageBreak/>
              <w:t>累储备</w:t>
            </w:r>
          </w:p>
        </w:tc>
        <w:tc>
          <w:tcPr>
            <w:tcW w:w="825"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lastRenderedPageBreak/>
              <w:t>10</w:t>
            </w:r>
          </w:p>
        </w:tc>
        <w:tc>
          <w:tcPr>
            <w:tcW w:w="3314" w:type="dxa"/>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12.全部科技项目数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6</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项</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w:t>
            </w:r>
            <w:r>
              <w:rPr>
                <w:rFonts w:ascii="仿宋_GB2312" w:hAnsi="仿宋_GB2312" w:cs="仿宋_GB2312" w:hint="eastAsia"/>
                <w:color w:val="000000"/>
                <w:kern w:val="0"/>
                <w:sz w:val="24"/>
                <w:szCs w:val="24"/>
              </w:rPr>
              <w:t>10</w:t>
            </w:r>
          </w:p>
        </w:tc>
      </w:tr>
      <w:tr w:rsidR="008B00FA">
        <w:trPr>
          <w:trHeight w:val="509"/>
        </w:trPr>
        <w:tc>
          <w:tcPr>
            <w:tcW w:w="963" w:type="dxa"/>
            <w:vMerge/>
            <w:noWrap/>
          </w:tcPr>
          <w:p w:rsidR="008B00FA" w:rsidRDefault="008B00FA">
            <w:pPr>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13.列入自治区有关部门立项的技术创新项目数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w:t>
            </w:r>
          </w:p>
        </w:tc>
        <w:tc>
          <w:tcPr>
            <w:tcW w:w="805" w:type="dxa"/>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项</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w:t>
            </w:r>
          </w:p>
        </w:tc>
      </w:tr>
      <w:tr w:rsidR="008B00FA">
        <w:trPr>
          <w:trHeight w:val="557"/>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14.研发周期三年及以上项目数占全部项目数的比重</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w:t>
            </w:r>
            <w:r>
              <w:rPr>
                <w:rFonts w:ascii="仿宋_GB2312" w:hAnsi="仿宋_GB2312" w:cs="仿宋_GB2312" w:hint="eastAsia"/>
                <w:color w:val="000000"/>
                <w:kern w:val="0"/>
                <w:sz w:val="24"/>
                <w:szCs w:val="24"/>
              </w:rPr>
              <w:t>6</w:t>
            </w:r>
          </w:p>
        </w:tc>
      </w:tr>
      <w:tr w:rsidR="008B00FA">
        <w:trPr>
          <w:trHeight w:val="406"/>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15.企业拥有广西名牌产品、著名商标、老字号</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个</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r>
      <w:tr w:rsidR="008B00FA">
        <w:trPr>
          <w:trHeight w:val="557"/>
        </w:trPr>
        <w:tc>
          <w:tcPr>
            <w:tcW w:w="963"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产出与效益</w:t>
            </w:r>
          </w:p>
        </w:tc>
        <w:tc>
          <w:tcPr>
            <w:tcW w:w="937"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技术创新产出</w:t>
            </w:r>
          </w:p>
        </w:tc>
        <w:tc>
          <w:tcPr>
            <w:tcW w:w="825" w:type="dxa"/>
            <w:vMerge w:val="restart"/>
            <w:noWrap/>
            <w:vAlign w:val="center"/>
          </w:tcPr>
          <w:p w:rsidR="008B00FA" w:rsidRDefault="00EF08C4">
            <w:pPr>
              <w:widowControl/>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13</w:t>
            </w: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16.当年完成的新产品新技术新工艺开发项目数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6</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项</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w:t>
            </w:r>
            <w:r>
              <w:rPr>
                <w:rFonts w:ascii="仿宋_GB2312" w:hAnsi="仿宋_GB2312" w:cs="仿宋_GB2312" w:hint="eastAsia"/>
                <w:color w:val="000000"/>
                <w:kern w:val="0"/>
                <w:sz w:val="24"/>
                <w:szCs w:val="24"/>
              </w:rPr>
              <w:t>5</w:t>
            </w:r>
          </w:p>
        </w:tc>
      </w:tr>
      <w:tr w:rsidR="008B00FA">
        <w:trPr>
          <w:trHeight w:val="480"/>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17.企业拥有的全部有效专利数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件</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≥3</w:t>
            </w:r>
          </w:p>
        </w:tc>
      </w:tr>
      <w:tr w:rsidR="008B00FA">
        <w:trPr>
          <w:trHeight w:val="480"/>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其中：企业拥有的全部有效发明专利数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件</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r>
      <w:tr w:rsidR="008B00FA">
        <w:trPr>
          <w:trHeight w:val="480"/>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18.当年获受理的专利数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件</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r>
      <w:tr w:rsidR="008B00FA">
        <w:trPr>
          <w:trHeight w:val="340"/>
        </w:trPr>
        <w:tc>
          <w:tcPr>
            <w:tcW w:w="963"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kern w:val="0"/>
                <w:sz w:val="24"/>
                <w:szCs w:val="24"/>
              </w:rPr>
            </w:pP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——其中：当年获受理的发明专利申请数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件</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r>
      <w:tr w:rsidR="008B00FA">
        <w:trPr>
          <w:trHeight w:val="575"/>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val="restart"/>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技术创新效益</w:t>
            </w:r>
          </w:p>
        </w:tc>
        <w:tc>
          <w:tcPr>
            <w:tcW w:w="825" w:type="dxa"/>
            <w:vMerge w:val="restart"/>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19</w:t>
            </w: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19.新产品销售收入</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7</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万元</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≥1000</w:t>
            </w:r>
          </w:p>
        </w:tc>
      </w:tr>
      <w:tr w:rsidR="008B00FA">
        <w:trPr>
          <w:trHeight w:val="575"/>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20.新产品销售收入占主营业务收入的比重</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5</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≥20</w:t>
            </w:r>
          </w:p>
        </w:tc>
      </w:tr>
      <w:tr w:rsidR="008B00FA">
        <w:trPr>
          <w:trHeight w:val="449"/>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21.利润率</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5</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≥5</w:t>
            </w:r>
          </w:p>
        </w:tc>
      </w:tr>
      <w:tr w:rsidR="008B00FA">
        <w:trPr>
          <w:trHeight w:val="659"/>
        </w:trPr>
        <w:tc>
          <w:tcPr>
            <w:tcW w:w="963" w:type="dxa"/>
            <w:vMerge/>
            <w:noWrap/>
          </w:tcPr>
          <w:p w:rsidR="008B00FA" w:rsidRDefault="008B00FA">
            <w:pPr>
              <w:widowControl/>
              <w:spacing w:line="400" w:lineRule="exact"/>
              <w:jc w:val="left"/>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825" w:type="dxa"/>
            <w:vMerge/>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3314" w:type="dxa"/>
            <w:noWrap/>
            <w:vAlign w:val="center"/>
          </w:tcPr>
          <w:p w:rsidR="008B00FA" w:rsidRDefault="00EF08C4">
            <w:pPr>
              <w:widowControl/>
              <w:spacing w:line="400" w:lineRule="exact"/>
              <w:jc w:val="lef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22.获自治区科学技术奖、广西企业创新创业奖、自治区主席质量奖等项目数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项</w:t>
            </w:r>
          </w:p>
        </w:tc>
        <w:tc>
          <w:tcPr>
            <w:tcW w:w="950"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r>
      <w:tr w:rsidR="008B00FA">
        <w:trPr>
          <w:trHeight w:val="581"/>
        </w:trPr>
        <w:tc>
          <w:tcPr>
            <w:tcW w:w="963" w:type="dxa"/>
            <w:vMerge w:val="restart"/>
            <w:tcBorders>
              <w:top w:val="single" w:sz="4" w:space="0" w:color="auto"/>
            </w:tcBorders>
            <w:noWrap/>
            <w:vAlign w:val="center"/>
          </w:tcPr>
          <w:p w:rsidR="008B00FA" w:rsidRDefault="00EF08C4">
            <w:pPr>
              <w:spacing w:line="400" w:lineRule="exact"/>
              <w:jc w:val="center"/>
              <w:rPr>
                <w:rFonts w:ascii="仿宋_GB2312" w:hAnsi="仿宋_GB2312" w:cs="仿宋_GB2312"/>
                <w:kern w:val="0"/>
                <w:sz w:val="24"/>
                <w:szCs w:val="24"/>
              </w:rPr>
            </w:pPr>
            <w:r>
              <w:rPr>
                <w:rFonts w:ascii="仿宋_GB2312" w:hAnsi="仿宋_GB2312" w:cs="仿宋_GB2312" w:hint="eastAsia"/>
                <w:kern w:val="0"/>
                <w:sz w:val="24"/>
                <w:szCs w:val="24"/>
              </w:rPr>
              <w:t>加分和扣分</w:t>
            </w:r>
          </w:p>
        </w:tc>
        <w:tc>
          <w:tcPr>
            <w:tcW w:w="937" w:type="dxa"/>
            <w:vMerge w:val="restart"/>
            <w:tcBorders>
              <w:top w:val="single" w:sz="4" w:space="0" w:color="auto"/>
            </w:tcBorders>
            <w:noWrap/>
            <w:vAlign w:val="center"/>
          </w:tcPr>
          <w:p w:rsidR="008B00FA" w:rsidRDefault="00EF08C4">
            <w:pPr>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加分</w:t>
            </w:r>
          </w:p>
        </w:tc>
        <w:tc>
          <w:tcPr>
            <w:tcW w:w="825" w:type="dxa"/>
            <w:vMerge w:val="restart"/>
            <w:tcBorders>
              <w:top w:val="single" w:sz="4" w:space="0" w:color="auto"/>
              <w:right w:val="single" w:sz="4" w:space="0" w:color="auto"/>
            </w:tcBorders>
            <w:noWrap/>
            <w:vAlign w:val="center"/>
          </w:tcPr>
          <w:p w:rsidR="008B00FA" w:rsidRDefault="00EF08C4">
            <w:pPr>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4</w:t>
            </w:r>
          </w:p>
        </w:tc>
        <w:tc>
          <w:tcPr>
            <w:tcW w:w="3314" w:type="dxa"/>
            <w:tcBorders>
              <w:top w:val="single" w:sz="4" w:space="0" w:color="auto"/>
              <w:left w:val="single" w:sz="4" w:space="0" w:color="auto"/>
            </w:tcBorders>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23.主持和参与制定的国际、国家、行业、地方、团体标准数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项</w:t>
            </w:r>
          </w:p>
        </w:tc>
        <w:tc>
          <w:tcPr>
            <w:tcW w:w="950" w:type="dxa"/>
            <w:noWrap/>
            <w:vAlign w:val="center"/>
          </w:tcPr>
          <w:p w:rsidR="008B00FA" w:rsidRDefault="00EF08C4">
            <w:pPr>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≥1</w:t>
            </w:r>
          </w:p>
        </w:tc>
      </w:tr>
      <w:tr w:rsidR="008B00FA">
        <w:trPr>
          <w:trHeight w:val="340"/>
        </w:trPr>
        <w:tc>
          <w:tcPr>
            <w:tcW w:w="963" w:type="dxa"/>
            <w:vMerge/>
            <w:noWrap/>
          </w:tcPr>
          <w:p w:rsidR="008B00FA" w:rsidRDefault="008B00FA">
            <w:pPr>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spacing w:line="400" w:lineRule="exact"/>
              <w:jc w:val="center"/>
              <w:rPr>
                <w:rFonts w:ascii="仿宋_GB2312" w:hAnsi="仿宋_GB2312" w:cs="仿宋_GB2312"/>
                <w:color w:val="000000"/>
                <w:kern w:val="0"/>
                <w:sz w:val="24"/>
                <w:szCs w:val="24"/>
              </w:rPr>
            </w:pPr>
          </w:p>
        </w:tc>
        <w:tc>
          <w:tcPr>
            <w:tcW w:w="825" w:type="dxa"/>
            <w:vMerge/>
            <w:tcBorders>
              <w:right w:val="single" w:sz="4" w:space="0" w:color="auto"/>
            </w:tcBorders>
            <w:noWrap/>
            <w:vAlign w:val="center"/>
          </w:tcPr>
          <w:p w:rsidR="008B00FA" w:rsidRDefault="008B00FA">
            <w:pPr>
              <w:spacing w:line="400" w:lineRule="exact"/>
              <w:jc w:val="center"/>
              <w:rPr>
                <w:rFonts w:ascii="仿宋_GB2312" w:hAnsi="仿宋_GB2312" w:cs="仿宋_GB2312"/>
                <w:color w:val="000000"/>
                <w:kern w:val="0"/>
                <w:sz w:val="24"/>
                <w:szCs w:val="24"/>
              </w:rPr>
            </w:pPr>
          </w:p>
        </w:tc>
        <w:tc>
          <w:tcPr>
            <w:tcW w:w="3314" w:type="dxa"/>
            <w:tcBorders>
              <w:left w:val="single" w:sz="4" w:space="0" w:color="auto"/>
            </w:tcBorders>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24.自有品牌产品与技术出口创汇额</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万美元</w:t>
            </w:r>
          </w:p>
        </w:tc>
        <w:tc>
          <w:tcPr>
            <w:tcW w:w="950" w:type="dxa"/>
            <w:noWrap/>
            <w:vAlign w:val="center"/>
          </w:tcPr>
          <w:p w:rsidR="008B00FA" w:rsidRDefault="00EF08C4">
            <w:pPr>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&gt;0</w:t>
            </w:r>
          </w:p>
        </w:tc>
      </w:tr>
      <w:tr w:rsidR="008B00FA">
        <w:trPr>
          <w:trHeight w:val="437"/>
        </w:trPr>
        <w:tc>
          <w:tcPr>
            <w:tcW w:w="963" w:type="dxa"/>
            <w:vMerge/>
            <w:noWrap/>
          </w:tcPr>
          <w:p w:rsidR="008B00FA" w:rsidRDefault="008B00FA">
            <w:pPr>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spacing w:line="400" w:lineRule="exact"/>
              <w:jc w:val="center"/>
              <w:rPr>
                <w:rFonts w:ascii="仿宋_GB2312" w:hAnsi="仿宋_GB2312" w:cs="仿宋_GB2312"/>
                <w:color w:val="000000"/>
                <w:kern w:val="0"/>
                <w:sz w:val="24"/>
                <w:szCs w:val="24"/>
              </w:rPr>
            </w:pPr>
          </w:p>
        </w:tc>
        <w:tc>
          <w:tcPr>
            <w:tcW w:w="825" w:type="dxa"/>
            <w:vMerge/>
            <w:tcBorders>
              <w:right w:val="single" w:sz="4" w:space="0" w:color="auto"/>
            </w:tcBorders>
            <w:noWrap/>
            <w:vAlign w:val="center"/>
          </w:tcPr>
          <w:p w:rsidR="008B00FA" w:rsidRDefault="008B00FA">
            <w:pPr>
              <w:spacing w:line="400" w:lineRule="exact"/>
              <w:jc w:val="center"/>
              <w:rPr>
                <w:rFonts w:ascii="仿宋_GB2312" w:hAnsi="仿宋_GB2312" w:cs="仿宋_GB2312"/>
                <w:color w:val="000000"/>
                <w:kern w:val="0"/>
                <w:sz w:val="24"/>
                <w:szCs w:val="24"/>
              </w:rPr>
            </w:pPr>
          </w:p>
        </w:tc>
        <w:tc>
          <w:tcPr>
            <w:tcW w:w="3314" w:type="dxa"/>
            <w:tcBorders>
              <w:left w:val="single" w:sz="4" w:space="0" w:color="auto"/>
            </w:tcBorders>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25.通过国家和国际组织认证的实验室数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个</w:t>
            </w:r>
          </w:p>
        </w:tc>
        <w:tc>
          <w:tcPr>
            <w:tcW w:w="950" w:type="dxa"/>
            <w:noWrap/>
            <w:vAlign w:val="center"/>
          </w:tcPr>
          <w:p w:rsidR="008B00FA" w:rsidRDefault="00EF08C4">
            <w:pPr>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≥1</w:t>
            </w:r>
          </w:p>
        </w:tc>
      </w:tr>
      <w:tr w:rsidR="008B00FA">
        <w:trPr>
          <w:trHeight w:val="485"/>
        </w:trPr>
        <w:tc>
          <w:tcPr>
            <w:tcW w:w="963" w:type="dxa"/>
            <w:vMerge/>
            <w:noWrap/>
          </w:tcPr>
          <w:p w:rsidR="008B00FA" w:rsidRDefault="008B00FA">
            <w:pPr>
              <w:widowControl/>
              <w:spacing w:line="400" w:lineRule="exact"/>
              <w:jc w:val="center"/>
              <w:rPr>
                <w:rFonts w:ascii="仿宋_GB2312" w:hAnsi="仿宋_GB2312" w:cs="仿宋_GB2312"/>
                <w:kern w:val="0"/>
                <w:sz w:val="24"/>
                <w:szCs w:val="24"/>
              </w:rPr>
            </w:pPr>
          </w:p>
        </w:tc>
        <w:tc>
          <w:tcPr>
            <w:tcW w:w="937" w:type="dxa"/>
            <w:vMerge/>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825" w:type="dxa"/>
            <w:vMerge/>
            <w:tcBorders>
              <w:right w:val="single" w:sz="4" w:space="0" w:color="auto"/>
            </w:tcBorders>
            <w:noWrap/>
            <w:vAlign w:val="center"/>
          </w:tcPr>
          <w:p w:rsidR="008B00FA" w:rsidRDefault="008B00FA">
            <w:pPr>
              <w:widowControl/>
              <w:spacing w:line="400" w:lineRule="exact"/>
              <w:jc w:val="center"/>
              <w:rPr>
                <w:rFonts w:ascii="仿宋_GB2312" w:hAnsi="仿宋_GB2312" w:cs="仿宋_GB2312"/>
                <w:color w:val="000000"/>
                <w:kern w:val="0"/>
                <w:sz w:val="24"/>
                <w:szCs w:val="24"/>
              </w:rPr>
            </w:pPr>
          </w:p>
        </w:tc>
        <w:tc>
          <w:tcPr>
            <w:tcW w:w="3314" w:type="dxa"/>
            <w:tcBorders>
              <w:left w:val="single" w:sz="4" w:space="0" w:color="auto"/>
            </w:tcBorders>
            <w:noWrap/>
            <w:vAlign w:val="center"/>
          </w:tcPr>
          <w:p w:rsidR="008B00FA" w:rsidRDefault="00EF08C4">
            <w:pPr>
              <w:widowControl/>
              <w:spacing w:line="400" w:lineRule="exact"/>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26.获国家科学技术奖项目数</w:t>
            </w:r>
          </w:p>
        </w:tc>
        <w:tc>
          <w:tcPr>
            <w:tcW w:w="819"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1</w:t>
            </w:r>
          </w:p>
        </w:tc>
        <w:tc>
          <w:tcPr>
            <w:tcW w:w="805" w:type="dxa"/>
            <w:noWrap/>
            <w:vAlign w:val="center"/>
          </w:tcPr>
          <w:p w:rsidR="008B00FA" w:rsidRDefault="00EF08C4">
            <w:pPr>
              <w:widowControl/>
              <w:spacing w:line="400" w:lineRule="exact"/>
              <w:jc w:val="center"/>
              <w:rPr>
                <w:rFonts w:ascii="仿宋_GB2312" w:hAnsi="仿宋_GB2312" w:cs="仿宋_GB2312"/>
                <w:color w:val="000000"/>
                <w:kern w:val="0"/>
                <w:sz w:val="24"/>
                <w:szCs w:val="24"/>
              </w:rPr>
            </w:pPr>
            <w:r>
              <w:rPr>
                <w:rFonts w:ascii="仿宋_GB2312" w:hAnsi="仿宋_GB2312" w:cs="仿宋_GB2312" w:hint="eastAsia"/>
                <w:color w:val="000000"/>
                <w:kern w:val="0"/>
                <w:sz w:val="24"/>
                <w:szCs w:val="24"/>
              </w:rPr>
              <w:t>项</w:t>
            </w:r>
          </w:p>
        </w:tc>
        <w:tc>
          <w:tcPr>
            <w:tcW w:w="950" w:type="dxa"/>
            <w:noWrap/>
            <w:vAlign w:val="center"/>
          </w:tcPr>
          <w:p w:rsidR="008B00FA" w:rsidRDefault="00EF08C4">
            <w:pPr>
              <w:spacing w:line="400" w:lineRule="exact"/>
              <w:jc w:val="center"/>
              <w:rPr>
                <w:rFonts w:ascii="仿宋_GB2312" w:hAnsi="仿宋_GB2312" w:cs="仿宋_GB2312"/>
                <w:color w:val="000000"/>
                <w:kern w:val="0"/>
                <w:sz w:val="24"/>
                <w:szCs w:val="24"/>
              </w:rPr>
            </w:pPr>
            <w:r>
              <w:rPr>
                <w:rFonts w:ascii="仿宋_GB2312" w:hAnsi="仿宋_GB2312" w:cs="仿宋_GB2312" w:hint="eastAsia"/>
                <w:kern w:val="0"/>
                <w:sz w:val="24"/>
                <w:szCs w:val="24"/>
              </w:rPr>
              <w:t>≥1</w:t>
            </w:r>
          </w:p>
        </w:tc>
      </w:tr>
    </w:tbl>
    <w:p w:rsidR="008B00FA" w:rsidRDefault="00EF08C4">
      <w:pPr>
        <w:widowControl/>
        <w:spacing w:line="400" w:lineRule="exact"/>
        <w:rPr>
          <w:rFonts w:ascii="仿宋_GB2312" w:hAnsi="仿宋"/>
          <w:sz w:val="24"/>
          <w:szCs w:val="24"/>
        </w:rPr>
      </w:pPr>
      <w:r>
        <w:rPr>
          <w:rFonts w:ascii="仿宋_GB2312" w:hAnsi="仿宋" w:hint="eastAsia"/>
          <w:sz w:val="24"/>
          <w:szCs w:val="24"/>
        </w:rPr>
        <w:t>有关说明：</w:t>
      </w:r>
    </w:p>
    <w:p w:rsidR="008B00FA" w:rsidRDefault="00EF08C4" w:rsidP="00B2694F">
      <w:pPr>
        <w:widowControl/>
        <w:spacing w:line="400" w:lineRule="exact"/>
        <w:ind w:firstLineChars="200" w:firstLine="455"/>
        <w:rPr>
          <w:rFonts w:ascii="仿宋_GB2312" w:hAnsi="仿宋"/>
          <w:sz w:val="24"/>
          <w:szCs w:val="24"/>
        </w:rPr>
      </w:pPr>
      <w:r>
        <w:rPr>
          <w:rFonts w:ascii="仿宋_GB2312" w:hAnsi="仿宋" w:hint="eastAsia"/>
          <w:sz w:val="24"/>
          <w:szCs w:val="24"/>
        </w:rPr>
        <w:t>1.软件和信息技术服务业企业的技术开发仪器设备原值不低于300万元。</w:t>
      </w:r>
    </w:p>
    <w:p w:rsidR="008B00FA" w:rsidRDefault="00EF08C4" w:rsidP="00B2694F">
      <w:pPr>
        <w:widowControl/>
        <w:spacing w:line="400" w:lineRule="exact"/>
        <w:ind w:firstLineChars="200" w:firstLine="455"/>
        <w:rPr>
          <w:rFonts w:ascii="仿宋_GB2312" w:hAnsi="仿宋"/>
          <w:sz w:val="24"/>
          <w:szCs w:val="24"/>
        </w:rPr>
      </w:pPr>
      <w:r>
        <w:rPr>
          <w:rFonts w:ascii="仿宋_GB2312" w:hAnsi="仿宋" w:hint="eastAsia"/>
          <w:sz w:val="24"/>
          <w:szCs w:val="24"/>
        </w:rPr>
        <w:t>2.“利润率”数值由“利润总额”核定数据除以“主营业务收入”核定数据得到。</w:t>
      </w:r>
    </w:p>
    <w:p w:rsidR="008B00FA" w:rsidRDefault="008B00FA" w:rsidP="00B2694F">
      <w:pPr>
        <w:widowControl/>
        <w:ind w:firstLineChars="272" w:firstLine="619"/>
        <w:rPr>
          <w:rFonts w:ascii="仿宋_GB2312" w:hAnsi="仿宋"/>
          <w:sz w:val="24"/>
          <w:szCs w:val="24"/>
        </w:rPr>
      </w:pPr>
    </w:p>
    <w:p w:rsidR="008B00FA" w:rsidRDefault="008B00FA">
      <w:pPr>
        <w:widowControl/>
        <w:jc w:val="left"/>
        <w:rPr>
          <w:rFonts w:ascii="仿宋" w:eastAsia="仿宋" w:hAnsi="仿宋"/>
          <w:sz w:val="30"/>
          <w:szCs w:val="30"/>
        </w:rPr>
        <w:sectPr w:rsidR="008B00FA">
          <w:footerReference w:type="even" r:id="rId7"/>
          <w:footerReference w:type="default" r:id="rId8"/>
          <w:pgSz w:w="11906" w:h="16838"/>
          <w:pgMar w:top="1418" w:right="1588" w:bottom="1418" w:left="1701" w:header="851" w:footer="992" w:gutter="0"/>
          <w:cols w:space="720"/>
          <w:docGrid w:type="linesAndChars" w:linePitch="636" w:charSpace="-2509"/>
        </w:sectPr>
      </w:pPr>
    </w:p>
    <w:p w:rsidR="008B00FA" w:rsidRDefault="00EF08C4" w:rsidP="00B2694F">
      <w:pPr>
        <w:widowControl/>
        <w:ind w:firstLineChars="200" w:firstLine="615"/>
        <w:jc w:val="left"/>
        <w:rPr>
          <w:rFonts w:ascii="黑体" w:eastAsia="黑体" w:hAnsi="黑体" w:cs="黑体"/>
          <w:bCs/>
          <w:kern w:val="0"/>
        </w:rPr>
      </w:pPr>
      <w:r>
        <w:rPr>
          <w:rFonts w:ascii="黑体" w:eastAsia="黑体" w:hAnsi="黑体" w:cs="黑体" w:hint="eastAsia"/>
          <w:bCs/>
          <w:kern w:val="0"/>
        </w:rPr>
        <w:lastRenderedPageBreak/>
        <w:t>二、行业系数</w:t>
      </w:r>
    </w:p>
    <w:tbl>
      <w:tblPr>
        <w:tblW w:w="0" w:type="auto"/>
        <w:tblInd w:w="136" w:type="dxa"/>
        <w:tblLayout w:type="fixed"/>
        <w:tblCellMar>
          <w:left w:w="0" w:type="dxa"/>
          <w:right w:w="0" w:type="dxa"/>
        </w:tblCellMar>
        <w:tblLook w:val="04A0"/>
      </w:tblPr>
      <w:tblGrid>
        <w:gridCol w:w="3075"/>
        <w:gridCol w:w="2013"/>
        <w:gridCol w:w="1975"/>
        <w:gridCol w:w="1412"/>
      </w:tblGrid>
      <w:tr w:rsidR="008B00FA">
        <w:trPr>
          <w:trHeight w:val="482"/>
          <w:tblHeader/>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行业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Style w:val="font11"/>
                <w:rFonts w:ascii="仿宋_GB2312" w:eastAsia="仿宋_GB2312" w:hAnsi="仿宋_GB2312" w:cs="仿宋_GB2312" w:hint="default"/>
                <w:color w:val="auto"/>
                <w:sz w:val="21"/>
                <w:szCs w:val="21"/>
              </w:rPr>
              <w:t>研发</w:t>
            </w:r>
            <w:r>
              <w:rPr>
                <w:rStyle w:val="font21"/>
                <w:rFonts w:ascii="仿宋_GB2312" w:eastAsia="仿宋_GB2312" w:hAnsi="仿宋_GB2312" w:cs="仿宋_GB2312" w:hint="default"/>
                <w:color w:val="auto"/>
                <w:sz w:val="21"/>
                <w:szCs w:val="21"/>
              </w:rPr>
              <w:t>经费支出额占主营业务的比重</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新产品销售收入占主营业务收入的比重</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新产品销售利润占利润总额的比重</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有色金属矿采选业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2.0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3.0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3.0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非金属矿物制品、金属制品业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黑色金属冶炼和压延加工业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有色金属冶炼和压延加工业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化学原料和化学制品制造业，化学纤维制造业，橡胶和塑料制品业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石油加工、炼焦和核燃料加工业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2.5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2.0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通用设备、专用设备制造业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汽车制造业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铁路、船舶、航空航天和其他运输设备制造业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电气机械和器材制造业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医药制造业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计算机、通信和其他电子设备制造业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仪器仪表制造业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0.8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农副食品加工、食品制造业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酒、饮料和精制茶制造业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纺织、纺织服装、服饰制造业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木材加工和木、竹、藤、棕、草制品业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家具制造业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造纸业纸制品业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印刷和记录媒介复制业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文教、工美、体育和娱乐用品</w:t>
            </w:r>
          </w:p>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制造业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1.5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1.2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lastRenderedPageBreak/>
              <w:t>软件和信息服务业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0.6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sz w:val="21"/>
                <w:szCs w:val="21"/>
              </w:rPr>
            </w:pPr>
            <w:r>
              <w:rPr>
                <w:rFonts w:ascii="仿宋_GB2312" w:hAnsi="仿宋_GB2312" w:cs="仿宋_GB2312" w:hint="eastAsia"/>
                <w:kern w:val="0"/>
                <w:sz w:val="21"/>
                <w:szCs w:val="21"/>
              </w:rPr>
              <w:t xml:space="preserve">1.0 </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石油和天然气开采业、煤炭开采和洗选业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2.0</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3.0</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3.0</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电力、热力生产和供应业</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2.5</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3.0</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3.0</w:t>
            </w:r>
          </w:p>
        </w:tc>
      </w:tr>
      <w:tr w:rsidR="008B00FA">
        <w:trPr>
          <w:trHeight w:val="482"/>
        </w:trPr>
        <w:tc>
          <w:tcPr>
            <w:tcW w:w="30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其他</w:t>
            </w:r>
          </w:p>
        </w:tc>
        <w:tc>
          <w:tcPr>
            <w:tcW w:w="2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 xml:space="preserve">1.5 </w:t>
            </w:r>
          </w:p>
        </w:tc>
        <w:tc>
          <w:tcPr>
            <w:tcW w:w="19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1.5</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B00FA" w:rsidRDefault="00EF08C4">
            <w:pPr>
              <w:widowControl/>
              <w:spacing w:line="380" w:lineRule="exact"/>
              <w:jc w:val="center"/>
              <w:textAlignment w:val="center"/>
              <w:rPr>
                <w:rFonts w:ascii="仿宋_GB2312" w:hAnsi="仿宋_GB2312" w:cs="仿宋_GB2312"/>
                <w:kern w:val="0"/>
                <w:sz w:val="21"/>
                <w:szCs w:val="21"/>
              </w:rPr>
            </w:pPr>
            <w:r>
              <w:rPr>
                <w:rFonts w:ascii="仿宋_GB2312" w:hAnsi="仿宋_GB2312" w:cs="仿宋_GB2312" w:hint="eastAsia"/>
                <w:kern w:val="0"/>
                <w:sz w:val="21"/>
                <w:szCs w:val="21"/>
              </w:rPr>
              <w:t>1</w:t>
            </w:r>
          </w:p>
        </w:tc>
      </w:tr>
    </w:tbl>
    <w:p w:rsidR="008B00FA" w:rsidRDefault="00EF08C4">
      <w:pPr>
        <w:widowControl/>
        <w:spacing w:line="400" w:lineRule="exact"/>
        <w:jc w:val="left"/>
        <w:rPr>
          <w:rFonts w:ascii="仿宋_GB2312" w:hAnsi="仿宋"/>
          <w:sz w:val="24"/>
          <w:szCs w:val="24"/>
        </w:rPr>
      </w:pPr>
      <w:r>
        <w:rPr>
          <w:rFonts w:ascii="仿宋_GB2312" w:hAnsi="仿宋" w:hint="eastAsia"/>
          <w:sz w:val="24"/>
          <w:szCs w:val="24"/>
        </w:rPr>
        <w:t>有关说明：</w:t>
      </w:r>
    </w:p>
    <w:p w:rsidR="008B00FA" w:rsidRDefault="00EF08C4" w:rsidP="00B2694F">
      <w:pPr>
        <w:widowControl/>
        <w:spacing w:line="400" w:lineRule="exact"/>
        <w:ind w:firstLineChars="200" w:firstLine="455"/>
        <w:rPr>
          <w:rFonts w:ascii="仿宋_GB2312" w:hAnsi="仿宋"/>
          <w:sz w:val="24"/>
          <w:szCs w:val="24"/>
        </w:rPr>
      </w:pPr>
      <w:r>
        <w:rPr>
          <w:rFonts w:ascii="仿宋_GB2312" w:hAnsi="仿宋" w:hint="eastAsia"/>
          <w:sz w:val="24"/>
          <w:szCs w:val="24"/>
        </w:rPr>
        <w:t xml:space="preserve">1.由于不同行业在技术创新投入与产出方面存在较大差异，技术中心评估时，对不同行业企业科技活动经费支出额占主营业务收入的比重和新产品销售收入占主营业务收入的比重等两个指标引入行业系数加以调节。 </w:t>
      </w:r>
    </w:p>
    <w:p w:rsidR="008B00FA" w:rsidRDefault="00EF08C4" w:rsidP="00B2694F">
      <w:pPr>
        <w:widowControl/>
        <w:spacing w:line="400" w:lineRule="exact"/>
        <w:ind w:firstLineChars="200" w:firstLine="455"/>
        <w:rPr>
          <w:rFonts w:ascii="仿宋_GB2312" w:hAnsi="仿宋"/>
          <w:sz w:val="24"/>
          <w:szCs w:val="24"/>
        </w:rPr>
      </w:pPr>
      <w:r>
        <w:rPr>
          <w:rFonts w:ascii="仿宋_GB2312" w:hAnsi="仿宋" w:hint="eastAsia"/>
          <w:sz w:val="24"/>
          <w:szCs w:val="24"/>
        </w:rPr>
        <w:t xml:space="preserve">2.行业系数只作为评估机构评价时使用，企业填报时无需考虑行业系数，按实际数据填报。评价时，根据企业填报的实际数据得出上述指标的比重，再乘以行业系数，得出指标的评价值。 </w:t>
      </w:r>
    </w:p>
    <w:p w:rsidR="008B00FA" w:rsidRDefault="00EF08C4" w:rsidP="00B2694F">
      <w:pPr>
        <w:widowControl/>
        <w:spacing w:line="400" w:lineRule="exact"/>
        <w:ind w:firstLineChars="200" w:firstLine="455"/>
        <w:rPr>
          <w:rFonts w:ascii="仿宋_GB2312" w:hAnsi="仿宋" w:cs="宋体"/>
          <w:b/>
          <w:kern w:val="0"/>
        </w:rPr>
      </w:pPr>
      <w:r>
        <w:rPr>
          <w:rFonts w:ascii="仿宋_GB2312" w:hAnsi="仿宋" w:hint="eastAsia"/>
          <w:sz w:val="24"/>
          <w:szCs w:val="24"/>
        </w:rPr>
        <w:t>3.行业系数表中的“其他”行业包括农业、交通、烟草制品等其他行业。</w:t>
      </w:r>
    </w:p>
    <w:p w:rsidR="008B00FA" w:rsidRDefault="008B00FA" w:rsidP="00B2694F">
      <w:pPr>
        <w:widowControl/>
        <w:spacing w:line="400" w:lineRule="exact"/>
        <w:ind w:firstLineChars="200" w:firstLine="618"/>
        <w:rPr>
          <w:rFonts w:ascii="仿宋_GB2312" w:hAnsi="仿宋" w:cs="宋体"/>
          <w:b/>
          <w:kern w:val="0"/>
        </w:rPr>
        <w:sectPr w:rsidR="008B00FA">
          <w:pgSz w:w="11906" w:h="16838"/>
          <w:pgMar w:top="1418" w:right="1588" w:bottom="1418" w:left="1701" w:header="851" w:footer="992" w:gutter="0"/>
          <w:cols w:space="720"/>
          <w:docGrid w:type="linesAndChars" w:linePitch="636" w:charSpace="-2509"/>
        </w:sectPr>
      </w:pPr>
    </w:p>
    <w:p w:rsidR="008B00FA" w:rsidRDefault="00EF08C4" w:rsidP="00B2694F">
      <w:pPr>
        <w:widowControl/>
        <w:ind w:firstLineChars="200" w:firstLine="615"/>
        <w:jc w:val="left"/>
        <w:rPr>
          <w:rFonts w:ascii="黑体" w:eastAsia="黑体" w:hAnsi="黑体" w:cs="黑体"/>
          <w:bCs/>
          <w:kern w:val="0"/>
        </w:rPr>
      </w:pPr>
      <w:r>
        <w:rPr>
          <w:rFonts w:ascii="黑体" w:eastAsia="黑体" w:hAnsi="黑体" w:cs="黑体" w:hint="eastAsia"/>
          <w:bCs/>
          <w:kern w:val="0"/>
        </w:rPr>
        <w:lastRenderedPageBreak/>
        <w:t>三、指标说明和解释</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企业：本表中的“企业”指的是技术中心所在企业。如果是集团技术中心，企业指的就是集团；如果是股份技术中心，企业指的就是股份；如果是单体企业技术中心，企业指的就是该单体企业。“企业”代表的范围就是指技术中心所在企业会计合并报表所涵盖的企业范围。</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2.企业营业收入总额：包括主营业务收入和非主营业务收入两部分。</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3.企业主营业务收入总额：指企业销售产成品、试制半成品的收入和提供工业性劳务收入总额，即工业性企业销售自己生产的产品的收入总额。按照工业产品和为工业产品配套直接服务的（产品）销售收入填列。注意按合并报表原则进行填报。</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4.企业利润总额：企业销售产品和提供劳务等主要经营业务收入扣除其成本、费用、税金后的利润。该指标根据会计损益表中“产品销售利润”项的期末累计数填列。</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5.研究与试验发展（简称“研发”）经费支出总额：指报告年度内企业研发活动的经费支出合计，包括人员人工费、直接投入费用、折旧费用与长期待摊费用、无形资产摊销费用、设计费用、装备调试费用与试验费用、委托外部研究开发费用及其他费用。</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6.新产品销售收入：指报告期本企业销售新产品实现的销售收入。新产品销售收入是产品销售收入的组成部分，计算口径与</w:t>
      </w:r>
      <w:r>
        <w:rPr>
          <w:rFonts w:ascii="仿宋_GB2312" w:hAnsi="仿宋_GB2312" w:cs="仿宋_GB2312" w:hint="eastAsia"/>
          <w:bCs/>
          <w:color w:val="000000"/>
        </w:rPr>
        <w:lastRenderedPageBreak/>
        <w:t>产品销售收入一致。新产品即包括经政府有关部门认定并在有效期内的新产品，也包括企业自行研制开发，未经政府有关部门认定，从投产之日起一年之内的新产品。</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新产品：指采用新技术原理、新设计构思研制、生产的全新产品，或在结构、材质、工艺等某一方面比原有产品有明显改进，从而显著提高了产品性能或扩大了使用功能的产品。新产品包括全新型新产品和重大改进型新产品二大类。</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全新型新产品：指与以前制造的产品相比，其</w:t>
      </w:r>
      <w:r w:rsidR="00F40B43">
        <w:rPr>
          <w:rFonts w:ascii="仿宋_GB2312" w:hAnsi="仿宋_GB2312" w:cs="仿宋_GB2312" w:hint="eastAsia"/>
          <w:bCs/>
          <w:color w:val="000000"/>
        </w:rPr>
        <w:t>用途或者技术设计和材料三者都有显著变化的产品。这些创新可以涉及</w:t>
      </w:r>
      <w:r>
        <w:rPr>
          <w:rFonts w:ascii="仿宋_GB2312" w:hAnsi="仿宋_GB2312" w:cs="仿宋_GB2312" w:hint="eastAsia"/>
          <w:bCs/>
          <w:color w:val="000000"/>
        </w:rPr>
        <w:t>全新的技术，也可以基于组合现有技术新的应用，或者源于新的知识的应用。</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重大改进型新产品：指在原有产品的基础上，产品性能得到显著提高或者重大改进的产品。若产品的改变仅仅是在美学上（外观、颜色、图案设计、包装等）的改变及技术上的较小的变化，属于产品差异，不作为新产品统计。</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7.企业全部科技项目数：指企业立项并开展研发（制）工作、以前年份立项（当年）仍继续进行研发（制）的研发项目，包括当年完成、年内仍在进行、年内研发工作已告失败的项目。从开发项目的性质看，包括新产品开发项目数、新技术开发项目数、新工艺开发项目数、新服务开发项目数与基础研究项目数之和。</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8.</w:t>
      </w:r>
      <w:r>
        <w:rPr>
          <w:rFonts w:ascii="仿宋_GB2312" w:hAnsi="仿宋_GB2312" w:cs="仿宋_GB2312" w:hint="eastAsia"/>
          <w:bCs/>
          <w:color w:val="000000"/>
          <w:kern w:val="0"/>
        </w:rPr>
        <w:t>列入自治区有关部门立项的技术创新项目数</w:t>
      </w:r>
      <w:r>
        <w:rPr>
          <w:rFonts w:ascii="仿宋_GB2312" w:hAnsi="仿宋_GB2312" w:cs="仿宋_GB2312" w:hint="eastAsia"/>
          <w:bCs/>
          <w:color w:val="000000"/>
        </w:rPr>
        <w:t>：指列入自治区工业和信息化厅技术创新项目计划、自治区科技计划项目等的</w:t>
      </w:r>
      <w:r>
        <w:rPr>
          <w:rFonts w:ascii="仿宋_GB2312" w:hAnsi="仿宋_GB2312" w:cs="仿宋_GB2312" w:hint="eastAsia"/>
          <w:bCs/>
          <w:color w:val="000000"/>
        </w:rPr>
        <w:lastRenderedPageBreak/>
        <w:t xml:space="preserve">技术创新项目。 </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9.国家级项目数：指列入国家自然基金、社科基金、国家软科学、863、973、国家重大科技专项、国家科技支撑计划、国家星火计划、国家级专项规划计划支持的项目。</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10.企业自主技术创新项目：指企业自己立项的项目。包括新产品新技术新工艺开发、市场和用户调查方案、产品设计方案、工艺设计方案、设备造型方案等。</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11.研发周期3年及以上的项目数：指研究开发周期在3年以上（含3年）的技术创新（科技）项目数。</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12.对外合作技术创新项目数：指企业与高等学校、科研院所及其他企业联合开展的技术创新（科技）项目数。</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13.企业职工总数：指企业在册职工人数。</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14.企业全体职工年收入总额：指企业在册全部职工一年的货币收入的总额。包括职工工资、福利费、奖金、政策补贴、项目提成等各项货币收入的总和。</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15.科技活动人员数：指企业直接从事（或参与）研发活动以及专门从事研发活动管理和为研发活动提供直接服务的人员。累计从事研发活动的时间占制度工作时间10％（不含）以下的人员不统计。</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（1）直接从事（或参与）研发活动的人员包括：企业所属的技术中心及中试车间（基地）等机构中从事研发活动的研究人员、工程技术人员、技术工人及其它辅助人员；虽不在上述机构</w:t>
      </w:r>
      <w:r>
        <w:rPr>
          <w:rFonts w:ascii="仿宋_GB2312" w:hAnsi="仿宋_GB2312" w:cs="仿宋_GB2312" w:hint="eastAsia"/>
          <w:bCs/>
          <w:color w:val="000000"/>
        </w:rPr>
        <w:lastRenderedPageBreak/>
        <w:t>工作，但编入研发活动项目组（攻关小组）的人员。</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专门从事研发活动管理和为研发活动提供直接服务的人员包括：企业主管研发工作的负责人，企业研发管理部门（科研管理处、部、科等）的工作人员，直接为研发活动提供资料文献、材料供应、设备维护等服务的人员。不包括保卫、医疗保健、司机、食堂人员、茶炉工、水暖工、清洁工等间接服务人员。</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16.技术中心职工人数：在技术中心工作并取得劳动报酬的从业人员年平均数。包括技术中心科研开发人员、直接管理人员和直接为其服务的人员等。</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17.技术中心全体职工年收入总额：指在技术中心工作的中心职工年货币总收入，包括工资、福利费、奖金、政策补贴、项目提成等各项收入的总和。</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18.技术中心人员培训费：指技术中心工作人员在国内、海外地区接受继续教育和专项培训的费用总支出。</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19.技术中心高级专家人数：指全职在技术中心工作，获得博士学位的人员（在站的博士后可以作为博士进行统计），或者获得国家、自治区、部和计划单列市等政府部门认定的有突出贡献的专家，或者享受国家、自治区、部和计划单列市专项津贴的专家，或具有高级职称及以上的专业技术人员。（为避免重复统计，同一专家多项资质荣誉选择价值含量最高的一个填报即可）。</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20.来技术中心从事研发工作的外部专家人数：指来技术中心从事研究、技术开发工作的具有较高研发开发能力的海内外专</w:t>
      </w:r>
      <w:r>
        <w:rPr>
          <w:rFonts w:ascii="仿宋_GB2312" w:hAnsi="仿宋_GB2312" w:cs="仿宋_GB2312" w:hint="eastAsia"/>
          <w:bCs/>
          <w:color w:val="000000"/>
        </w:rPr>
        <w:lastRenderedPageBreak/>
        <w:t>家累计人月。最小统计单位为：0.5人月。</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21.企业技术开发仪器设备原值：指年末技术中心拥有或控制的用于研发、技术开发的仪器、研发设备、中间试验设备的原值（帐面原值）。研发仪器设备包括技术开发仪器、技术开发设备、技术开发检测设备、中间试验设备等。</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22.广西名牌产品：指自治区（部）级政府相关部门评定的依然在有效期之内的名牌产品。广西著名商标：指具有较高市场声誉和商业价值，为相关公众所熟知，并依法被自治区级工商行政管理部门认定的依然在有效期之内的注册商标。老字号：指获评为中华老字号、广西老字号的品牌。</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23.企业拥有的全部有效发明专利数：指企业向国内外知识产权行政部门提出发明专利申请并被授权的且在有效期内的专利。</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24.当年获受理的专利申请数：指当年度内向相关部门提出申请并被受理的专利申请总数。</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25.最近三年主持和参加制订的国际、国家、行业标准数：指企业在近三年主持或参与制订，目前仍有效执行的国际、国家、行业和地方标准的数量（医药企业的新药或进入药典的药物标准等）。</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26.研究开发费用加计扣除减免税：指企业按有关政策和税法规定税前加计扣除的研究开发活动费用所得税，按当年税务部门实际减免的税额填报。</w:t>
      </w:r>
    </w:p>
    <w:p w:rsidR="008B00FA" w:rsidRDefault="00EF08C4">
      <w:pPr>
        <w:ind w:firstLineChars="201" w:firstLine="619"/>
        <w:rPr>
          <w:rFonts w:ascii="仿宋_GB2312" w:hAnsi="仿宋_GB2312" w:cs="仿宋_GB2312"/>
          <w:bCs/>
          <w:color w:val="000000"/>
        </w:rPr>
      </w:pPr>
      <w:r>
        <w:rPr>
          <w:rFonts w:ascii="仿宋_GB2312" w:hAnsi="仿宋_GB2312" w:cs="仿宋_GB2312" w:hint="eastAsia"/>
          <w:bCs/>
          <w:color w:val="000000"/>
        </w:rPr>
        <w:t>27.获国家科学技术奖项目数：指企业获得国家自然科学奖、</w:t>
      </w:r>
      <w:r>
        <w:rPr>
          <w:rFonts w:ascii="仿宋_GB2312" w:hAnsi="仿宋_GB2312" w:cs="仿宋_GB2312" w:hint="eastAsia"/>
          <w:bCs/>
          <w:color w:val="000000"/>
        </w:rPr>
        <w:lastRenderedPageBreak/>
        <w:t>国家技术发明奖和国家科技进步奖的项目总数。</w:t>
      </w:r>
    </w:p>
    <w:p w:rsidR="008B00FA" w:rsidRDefault="00EF08C4">
      <w:pPr>
        <w:ind w:firstLineChars="201" w:firstLine="619"/>
        <w:rPr>
          <w:rFonts w:ascii="仿宋_GB2312" w:hAnsi="仿宋_GB2312" w:cs="仿宋_GB2312"/>
          <w:spacing w:val="-7"/>
        </w:rPr>
      </w:pPr>
      <w:r>
        <w:rPr>
          <w:rFonts w:ascii="仿宋_GB2312" w:hAnsi="仿宋_GB2312" w:cs="仿宋_GB2312" w:hint="eastAsia"/>
          <w:bCs/>
          <w:color w:val="000000"/>
        </w:rPr>
        <w:t>28.获自治区科学奖项目数：指企业获得的自治区级科学技术奖励的项目总数。</w:t>
      </w:r>
    </w:p>
    <w:sectPr w:rsidR="008B00FA" w:rsidSect="008B00FA">
      <w:pgSz w:w="11906" w:h="16838"/>
      <w:pgMar w:top="1418" w:right="1588" w:bottom="1418" w:left="1701" w:header="851" w:footer="992" w:gutter="0"/>
      <w:cols w:space="720"/>
      <w:docGrid w:type="linesAndChars" w:linePitch="636" w:charSpace="-25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8B6" w:rsidRDefault="002878B6" w:rsidP="008B00FA">
      <w:r>
        <w:separator/>
      </w:r>
    </w:p>
  </w:endnote>
  <w:endnote w:type="continuationSeparator" w:id="1">
    <w:p w:rsidR="002878B6" w:rsidRDefault="002878B6" w:rsidP="008B0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FA" w:rsidRDefault="00AD09BD">
    <w:pPr>
      <w:pStyle w:val="a7"/>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AAvrfwwEAAHADAAAOAAAAAAAAAAEAIAAAAB4BAABkcnMvZTJvRG9jLnhtbFBL&#10;BQYAAAAABgAGAFkBAABTBQAAAAA=&#10;" filled="f" stroked="f">
          <v:textbox style="mso-fit-shape-to-text:t" inset="0,0,0,0">
            <w:txbxContent>
              <w:p w:rsidR="008B00FA" w:rsidRDefault="00EF08C4">
                <w:pPr>
                  <w:pStyle w:val="a7"/>
                  <w:rPr>
                    <w:rFonts w:ascii="宋体" w:hAnsi="宋体" w:cs="宋体"/>
                    <w:sz w:val="28"/>
                    <w:szCs w:val="28"/>
                  </w:rPr>
                </w:pPr>
                <w:r>
                  <w:rPr>
                    <w:rFonts w:ascii="宋体" w:hAnsi="宋体" w:cs="宋体" w:hint="eastAsia"/>
                    <w:sz w:val="28"/>
                    <w:szCs w:val="28"/>
                  </w:rPr>
                  <w:t xml:space="preserve">— </w:t>
                </w:r>
                <w:r w:rsidR="00AD09B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D09BD">
                  <w:rPr>
                    <w:rFonts w:ascii="宋体" w:hAnsi="宋体" w:cs="宋体" w:hint="eastAsia"/>
                    <w:sz w:val="28"/>
                    <w:szCs w:val="28"/>
                  </w:rPr>
                  <w:fldChar w:fldCharType="separate"/>
                </w:r>
                <w:r w:rsidR="00F40B43">
                  <w:rPr>
                    <w:rFonts w:ascii="宋体" w:hAnsi="宋体" w:cs="宋体"/>
                    <w:noProof/>
                    <w:sz w:val="28"/>
                    <w:szCs w:val="28"/>
                  </w:rPr>
                  <w:t>6</w:t>
                </w:r>
                <w:r w:rsidR="00AD09B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FA" w:rsidRDefault="00AD09BD">
    <w:pPr>
      <w:pStyle w:val="a7"/>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filled="f" stroked="f">
          <v:textbox style="mso-fit-shape-to-text:t" inset="0,0,0,0">
            <w:txbxContent>
              <w:p w:rsidR="008B00FA" w:rsidRDefault="00EF08C4">
                <w:pPr>
                  <w:pStyle w:val="a7"/>
                  <w:rPr>
                    <w:rFonts w:ascii="宋体" w:hAnsi="宋体" w:cs="宋体"/>
                    <w:sz w:val="28"/>
                    <w:szCs w:val="28"/>
                  </w:rPr>
                </w:pPr>
                <w:r>
                  <w:rPr>
                    <w:rFonts w:ascii="宋体" w:hAnsi="宋体" w:cs="宋体" w:hint="eastAsia"/>
                    <w:sz w:val="28"/>
                    <w:szCs w:val="28"/>
                  </w:rPr>
                  <w:t xml:space="preserve">— </w:t>
                </w:r>
                <w:r w:rsidR="00AD09B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D09BD">
                  <w:rPr>
                    <w:rFonts w:ascii="宋体" w:hAnsi="宋体" w:cs="宋体" w:hint="eastAsia"/>
                    <w:sz w:val="28"/>
                    <w:szCs w:val="28"/>
                  </w:rPr>
                  <w:fldChar w:fldCharType="separate"/>
                </w:r>
                <w:r w:rsidR="00F40B43">
                  <w:rPr>
                    <w:rFonts w:ascii="宋体" w:hAnsi="宋体" w:cs="宋体"/>
                    <w:noProof/>
                    <w:sz w:val="28"/>
                    <w:szCs w:val="28"/>
                  </w:rPr>
                  <w:t>7</w:t>
                </w:r>
                <w:r w:rsidR="00AD09B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8B6" w:rsidRDefault="002878B6" w:rsidP="008B00FA">
      <w:r>
        <w:separator/>
      </w:r>
    </w:p>
  </w:footnote>
  <w:footnote w:type="continuationSeparator" w:id="1">
    <w:p w:rsidR="002878B6" w:rsidRDefault="002878B6" w:rsidP="008B00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54"/>
  <w:drawingGridVerticalSpacing w:val="318"/>
  <w:doNotShadeFormData/>
  <w:noPunctuationKerning/>
  <w:characterSpacingControl w:val="compressPunctuation"/>
  <w:noLineBreaksAfter w:lang="zh-CN" w:val="([{·‘“〈《「『【〔〖（．［｛￡￥"/>
  <w:noLineBreaksBefore w:lang="zh-CN" w:val="!),.:;?]}¨·ˇˉ―‖’”…∶、。〃々〉》」』】〕〗！＂＇），．：；？］｀｜｝～￠"/>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B3BE77BD"/>
    <w:rsid w:val="B9FFDF4D"/>
    <w:rsid w:val="BA7B23C6"/>
    <w:rsid w:val="BBA7C6FB"/>
    <w:rsid w:val="BF938232"/>
    <w:rsid w:val="BFFFB7F7"/>
    <w:rsid w:val="C4A1693C"/>
    <w:rsid w:val="DBDDA28A"/>
    <w:rsid w:val="DD796975"/>
    <w:rsid w:val="DF7B2598"/>
    <w:rsid w:val="E7FEC664"/>
    <w:rsid w:val="EDE7630D"/>
    <w:rsid w:val="F2E4FAD6"/>
    <w:rsid w:val="F71845F9"/>
    <w:rsid w:val="FBBF9E81"/>
    <w:rsid w:val="FD335B53"/>
    <w:rsid w:val="FD75FBF6"/>
    <w:rsid w:val="FD773A0A"/>
    <w:rsid w:val="FDCEBD10"/>
    <w:rsid w:val="FE734873"/>
    <w:rsid w:val="FEFE6226"/>
    <w:rsid w:val="FFCE9F7E"/>
    <w:rsid w:val="00065FC8"/>
    <w:rsid w:val="000869DC"/>
    <w:rsid w:val="000A17D0"/>
    <w:rsid w:val="000C708D"/>
    <w:rsid w:val="00172A27"/>
    <w:rsid w:val="00203EF2"/>
    <w:rsid w:val="00271324"/>
    <w:rsid w:val="002878B6"/>
    <w:rsid w:val="002D74A8"/>
    <w:rsid w:val="003148F7"/>
    <w:rsid w:val="00320207"/>
    <w:rsid w:val="003D7D73"/>
    <w:rsid w:val="004721A2"/>
    <w:rsid w:val="0054595B"/>
    <w:rsid w:val="00605FFD"/>
    <w:rsid w:val="006A777A"/>
    <w:rsid w:val="00721D90"/>
    <w:rsid w:val="00735DCC"/>
    <w:rsid w:val="00846154"/>
    <w:rsid w:val="00861077"/>
    <w:rsid w:val="008A3243"/>
    <w:rsid w:val="008B00FA"/>
    <w:rsid w:val="0090476D"/>
    <w:rsid w:val="0095489A"/>
    <w:rsid w:val="00961205"/>
    <w:rsid w:val="009B05F4"/>
    <w:rsid w:val="009B7098"/>
    <w:rsid w:val="00A4713C"/>
    <w:rsid w:val="00AD09BD"/>
    <w:rsid w:val="00B2694F"/>
    <w:rsid w:val="00CA32D8"/>
    <w:rsid w:val="00CA47C0"/>
    <w:rsid w:val="00CF7CD3"/>
    <w:rsid w:val="00D07A37"/>
    <w:rsid w:val="00DB6BDC"/>
    <w:rsid w:val="00DC060B"/>
    <w:rsid w:val="00EF08C4"/>
    <w:rsid w:val="00F40B43"/>
    <w:rsid w:val="00FA1632"/>
    <w:rsid w:val="00FD7CFF"/>
    <w:rsid w:val="03F0481B"/>
    <w:rsid w:val="0A15082D"/>
    <w:rsid w:val="0A3E40E3"/>
    <w:rsid w:val="0C4D1805"/>
    <w:rsid w:val="10864AD8"/>
    <w:rsid w:val="147B5706"/>
    <w:rsid w:val="150A3439"/>
    <w:rsid w:val="15205AC3"/>
    <w:rsid w:val="16C7448F"/>
    <w:rsid w:val="19593F6F"/>
    <w:rsid w:val="1B4D66ED"/>
    <w:rsid w:val="1C3B51DA"/>
    <w:rsid w:val="1DBF09CD"/>
    <w:rsid w:val="1DFF991E"/>
    <w:rsid w:val="1FA64E14"/>
    <w:rsid w:val="1FFDF288"/>
    <w:rsid w:val="2140485C"/>
    <w:rsid w:val="21C26EB6"/>
    <w:rsid w:val="22F21056"/>
    <w:rsid w:val="22FBD4CB"/>
    <w:rsid w:val="235C4737"/>
    <w:rsid w:val="23A66665"/>
    <w:rsid w:val="23F61824"/>
    <w:rsid w:val="25C54677"/>
    <w:rsid w:val="276F3DAD"/>
    <w:rsid w:val="280733EE"/>
    <w:rsid w:val="291F2ED6"/>
    <w:rsid w:val="295722E1"/>
    <w:rsid w:val="2B44006A"/>
    <w:rsid w:val="2B80102C"/>
    <w:rsid w:val="2E794225"/>
    <w:rsid w:val="2F4F8322"/>
    <w:rsid w:val="300728A4"/>
    <w:rsid w:val="311C4E53"/>
    <w:rsid w:val="31984E22"/>
    <w:rsid w:val="31BF7A14"/>
    <w:rsid w:val="34F9BAE8"/>
    <w:rsid w:val="361101C8"/>
    <w:rsid w:val="371B14B0"/>
    <w:rsid w:val="374022BB"/>
    <w:rsid w:val="37BD1C23"/>
    <w:rsid w:val="386E2B36"/>
    <w:rsid w:val="39F26405"/>
    <w:rsid w:val="3A744395"/>
    <w:rsid w:val="3B333998"/>
    <w:rsid w:val="3CCE2CB6"/>
    <w:rsid w:val="3D52064F"/>
    <w:rsid w:val="3E5F18E0"/>
    <w:rsid w:val="3EA94684"/>
    <w:rsid w:val="3EEF624F"/>
    <w:rsid w:val="3FE17735"/>
    <w:rsid w:val="3FF270F8"/>
    <w:rsid w:val="3FFF4DCA"/>
    <w:rsid w:val="42FD92A2"/>
    <w:rsid w:val="435F8AAD"/>
    <w:rsid w:val="43ACC8B8"/>
    <w:rsid w:val="45682A59"/>
    <w:rsid w:val="4AEB0E90"/>
    <w:rsid w:val="4B2867FE"/>
    <w:rsid w:val="4B7263BA"/>
    <w:rsid w:val="4CFD5ADF"/>
    <w:rsid w:val="4EFF02E2"/>
    <w:rsid w:val="504C327B"/>
    <w:rsid w:val="51843989"/>
    <w:rsid w:val="5377EE51"/>
    <w:rsid w:val="53A16A7D"/>
    <w:rsid w:val="53C27818"/>
    <w:rsid w:val="53FB90D4"/>
    <w:rsid w:val="551A20F6"/>
    <w:rsid w:val="566F0A1A"/>
    <w:rsid w:val="57BC6215"/>
    <w:rsid w:val="58636803"/>
    <w:rsid w:val="591C74D3"/>
    <w:rsid w:val="597F75DE"/>
    <w:rsid w:val="5A1221BF"/>
    <w:rsid w:val="5A1B52DF"/>
    <w:rsid w:val="5BED46ED"/>
    <w:rsid w:val="5BF722B9"/>
    <w:rsid w:val="5CCA0733"/>
    <w:rsid w:val="5D723859"/>
    <w:rsid w:val="5DAD1EA7"/>
    <w:rsid w:val="616B7EA3"/>
    <w:rsid w:val="63A268EB"/>
    <w:rsid w:val="651E4AB7"/>
    <w:rsid w:val="66976655"/>
    <w:rsid w:val="68E213C9"/>
    <w:rsid w:val="69402E1C"/>
    <w:rsid w:val="69C02CBD"/>
    <w:rsid w:val="6D390BB5"/>
    <w:rsid w:val="6E035D66"/>
    <w:rsid w:val="6F0C7D7C"/>
    <w:rsid w:val="6F7FDE48"/>
    <w:rsid w:val="7074350D"/>
    <w:rsid w:val="737F1E72"/>
    <w:rsid w:val="73E90A30"/>
    <w:rsid w:val="74662482"/>
    <w:rsid w:val="74883F6A"/>
    <w:rsid w:val="7535436D"/>
    <w:rsid w:val="755F396B"/>
    <w:rsid w:val="768E38A3"/>
    <w:rsid w:val="76BF8A15"/>
    <w:rsid w:val="77DF8A79"/>
    <w:rsid w:val="77FD7324"/>
    <w:rsid w:val="79FB8B40"/>
    <w:rsid w:val="7A8734CA"/>
    <w:rsid w:val="7A953996"/>
    <w:rsid w:val="7AF76E45"/>
    <w:rsid w:val="7BC4E651"/>
    <w:rsid w:val="7BC7F644"/>
    <w:rsid w:val="7BEF6A49"/>
    <w:rsid w:val="7CCA29C7"/>
    <w:rsid w:val="7CDC17A1"/>
    <w:rsid w:val="7CFD761C"/>
    <w:rsid w:val="7D0F07FA"/>
    <w:rsid w:val="7F25E582"/>
    <w:rsid w:val="7FB17F54"/>
    <w:rsid w:val="7FDB19F7"/>
    <w:rsid w:val="7FFF5467"/>
    <w:rsid w:val="7FFFE202"/>
    <w:rsid w:val="7FFFEBA7"/>
    <w:rsid w:val="91F410B5"/>
    <w:rsid w:val="9CB7A23A"/>
    <w:rsid w:val="A69B8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B00FA"/>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8B00FA"/>
    <w:pPr>
      <w:jc w:val="left"/>
    </w:pPr>
    <w:rPr>
      <w:rFonts w:eastAsia="宋体"/>
      <w:sz w:val="21"/>
      <w:szCs w:val="24"/>
    </w:rPr>
  </w:style>
  <w:style w:type="paragraph" w:styleId="a4">
    <w:name w:val="Body Text"/>
    <w:basedOn w:val="a"/>
    <w:rsid w:val="008B00FA"/>
    <w:rPr>
      <w:rFonts w:ascii="宋体" w:eastAsia="宋体" w:hAnsi="宋体" w:cs="宋体"/>
      <w:sz w:val="21"/>
      <w:szCs w:val="21"/>
      <w:lang w:val="zh-CN" w:bidi="zh-CN"/>
    </w:rPr>
  </w:style>
  <w:style w:type="paragraph" w:styleId="a5">
    <w:name w:val="Plain Text"/>
    <w:basedOn w:val="a"/>
    <w:link w:val="Char0"/>
    <w:rsid w:val="008B00FA"/>
    <w:rPr>
      <w:rFonts w:ascii="宋体" w:eastAsia="宋体" w:hAnsi="Courier New" w:cs="Courier New"/>
      <w:sz w:val="21"/>
      <w:szCs w:val="21"/>
    </w:rPr>
  </w:style>
  <w:style w:type="paragraph" w:styleId="a6">
    <w:name w:val="Balloon Text"/>
    <w:basedOn w:val="a"/>
    <w:link w:val="Char1"/>
    <w:rsid w:val="008B00FA"/>
    <w:rPr>
      <w:rFonts w:eastAsia="宋体"/>
      <w:sz w:val="18"/>
      <w:szCs w:val="18"/>
    </w:rPr>
  </w:style>
  <w:style w:type="paragraph" w:styleId="a7">
    <w:name w:val="footer"/>
    <w:basedOn w:val="a"/>
    <w:link w:val="Char2"/>
    <w:rsid w:val="008B00FA"/>
    <w:pPr>
      <w:tabs>
        <w:tab w:val="center" w:pos="4153"/>
        <w:tab w:val="right" w:pos="8306"/>
      </w:tabs>
      <w:snapToGrid w:val="0"/>
      <w:jc w:val="left"/>
    </w:pPr>
    <w:rPr>
      <w:rFonts w:eastAsia="宋体"/>
      <w:sz w:val="18"/>
      <w:szCs w:val="18"/>
    </w:rPr>
  </w:style>
  <w:style w:type="paragraph" w:styleId="a8">
    <w:name w:val="header"/>
    <w:basedOn w:val="a"/>
    <w:link w:val="Char3"/>
    <w:rsid w:val="008B00FA"/>
    <w:pPr>
      <w:pBdr>
        <w:bottom w:val="single" w:sz="6" w:space="1" w:color="auto"/>
      </w:pBdr>
      <w:tabs>
        <w:tab w:val="center" w:pos="4153"/>
        <w:tab w:val="right" w:pos="8306"/>
      </w:tabs>
      <w:snapToGrid w:val="0"/>
      <w:jc w:val="center"/>
    </w:pPr>
    <w:rPr>
      <w:rFonts w:eastAsia="宋体"/>
      <w:sz w:val="18"/>
      <w:szCs w:val="18"/>
    </w:rPr>
  </w:style>
  <w:style w:type="paragraph" w:styleId="a9">
    <w:name w:val="Normal (Web)"/>
    <w:basedOn w:val="a"/>
    <w:rsid w:val="008B00FA"/>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Char4"/>
    <w:rsid w:val="008B00FA"/>
    <w:rPr>
      <w:b/>
      <w:bCs/>
    </w:rPr>
  </w:style>
  <w:style w:type="table" w:styleId="ab">
    <w:name w:val="Table Grid"/>
    <w:basedOn w:val="a1"/>
    <w:rsid w:val="008B00F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Professional"/>
    <w:basedOn w:val="a1"/>
    <w:rsid w:val="008B00FA"/>
    <w:pPr>
      <w:widowControl w:val="0"/>
    </w:p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d">
    <w:name w:val="page number"/>
    <w:basedOn w:val="a0"/>
    <w:rsid w:val="008B00FA"/>
    <w:rPr>
      <w:rFonts w:ascii="Times New Roman" w:eastAsia="宋体" w:hAnsi="Times New Roman" w:cs="Times New Roman"/>
    </w:rPr>
  </w:style>
  <w:style w:type="character" w:styleId="ae">
    <w:name w:val="Hyperlink"/>
    <w:basedOn w:val="a0"/>
    <w:rsid w:val="008B00FA"/>
    <w:rPr>
      <w:rFonts w:ascii="Times New Roman" w:eastAsia="宋体" w:hAnsi="Times New Roman" w:cs="Times New Roman"/>
      <w:color w:val="0000FF"/>
      <w:u w:val="single"/>
    </w:rPr>
  </w:style>
  <w:style w:type="character" w:styleId="af">
    <w:name w:val="annotation reference"/>
    <w:basedOn w:val="a0"/>
    <w:rsid w:val="008B00FA"/>
    <w:rPr>
      <w:rFonts w:ascii="Times New Roman" w:eastAsia="宋体" w:hAnsi="Times New Roman" w:cs="Times New Roman"/>
      <w:sz w:val="21"/>
      <w:szCs w:val="21"/>
    </w:rPr>
  </w:style>
  <w:style w:type="paragraph" w:customStyle="1" w:styleId="1">
    <w:name w:val="无间隔1"/>
    <w:rsid w:val="008B00FA"/>
    <w:pPr>
      <w:widowControl w:val="0"/>
      <w:jc w:val="both"/>
    </w:pPr>
    <w:rPr>
      <w:rFonts w:ascii="Calibri" w:hAnsi="Calibri"/>
      <w:kern w:val="2"/>
      <w:sz w:val="21"/>
      <w:szCs w:val="22"/>
    </w:rPr>
  </w:style>
  <w:style w:type="paragraph" w:styleId="af0">
    <w:name w:val="List Paragraph"/>
    <w:basedOn w:val="a"/>
    <w:rsid w:val="008B00FA"/>
    <w:pPr>
      <w:ind w:firstLineChars="200" w:firstLine="420"/>
    </w:pPr>
    <w:rPr>
      <w:rFonts w:eastAsia="宋体"/>
      <w:szCs w:val="24"/>
    </w:rPr>
  </w:style>
  <w:style w:type="paragraph" w:customStyle="1" w:styleId="reader-word-layerreader-word-s4-8">
    <w:name w:val="reader-word-layer reader-word-s4-8"/>
    <w:basedOn w:val="a"/>
    <w:rsid w:val="008B00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4-4">
    <w:name w:val="reader-word-layer reader-word-s4-4"/>
    <w:basedOn w:val="a"/>
    <w:rsid w:val="008B00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2">
    <w:name w:val="reader-word-layer reader-word-s5-2"/>
    <w:basedOn w:val="a"/>
    <w:rsid w:val="008B00FA"/>
    <w:pPr>
      <w:widowControl/>
      <w:spacing w:before="100" w:beforeAutospacing="1" w:after="100" w:afterAutospacing="1"/>
      <w:jc w:val="left"/>
    </w:pPr>
    <w:rPr>
      <w:rFonts w:ascii="宋体" w:eastAsia="宋体" w:hAnsi="宋体" w:cs="宋体"/>
      <w:kern w:val="0"/>
      <w:sz w:val="24"/>
      <w:szCs w:val="24"/>
    </w:rPr>
  </w:style>
  <w:style w:type="paragraph" w:customStyle="1" w:styleId="Style2">
    <w:name w:val="_Style 2"/>
    <w:basedOn w:val="a"/>
    <w:rsid w:val="008B00FA"/>
    <w:rPr>
      <w:rFonts w:eastAsia="宋体"/>
      <w:sz w:val="21"/>
      <w:szCs w:val="24"/>
    </w:rPr>
  </w:style>
  <w:style w:type="paragraph" w:customStyle="1" w:styleId="reader-word-layerreader-word-s4-5">
    <w:name w:val="reader-word-layer reader-word-s4-5"/>
    <w:basedOn w:val="a"/>
    <w:rsid w:val="008B00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4-9">
    <w:name w:val="reader-word-layer reader-word-s4-9"/>
    <w:basedOn w:val="a"/>
    <w:rsid w:val="008B00FA"/>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
    <w:name w:val="默认段落字体 Para Char Char Char Char"/>
    <w:basedOn w:val="a"/>
    <w:rsid w:val="008B00FA"/>
    <w:rPr>
      <w:rFonts w:ascii="仿宋_GB2312" w:eastAsia="宋体"/>
      <w:szCs w:val="20"/>
    </w:rPr>
  </w:style>
  <w:style w:type="paragraph" w:customStyle="1" w:styleId="TableParagraph">
    <w:name w:val="Table Paragraph"/>
    <w:basedOn w:val="a"/>
    <w:rsid w:val="008B00FA"/>
    <w:rPr>
      <w:rFonts w:ascii="宋体" w:eastAsia="宋体" w:hAnsi="宋体" w:cs="宋体"/>
      <w:lang w:val="zh-CN" w:bidi="zh-CN"/>
    </w:rPr>
  </w:style>
  <w:style w:type="character" w:customStyle="1" w:styleId="Char">
    <w:name w:val="批注文字 Char"/>
    <w:basedOn w:val="a0"/>
    <w:link w:val="a3"/>
    <w:rsid w:val="008B00FA"/>
    <w:rPr>
      <w:rFonts w:ascii="Times New Roman" w:eastAsia="宋体" w:hAnsi="Times New Roman" w:cs="Times New Roman"/>
      <w:kern w:val="2"/>
      <w:sz w:val="21"/>
      <w:szCs w:val="24"/>
    </w:rPr>
  </w:style>
  <w:style w:type="character" w:customStyle="1" w:styleId="Char0">
    <w:name w:val="纯文本 Char"/>
    <w:basedOn w:val="a0"/>
    <w:link w:val="a5"/>
    <w:rsid w:val="008B00FA"/>
    <w:rPr>
      <w:rFonts w:ascii="宋体" w:eastAsia="宋体" w:hAnsi="Courier New" w:cs="Courier New"/>
      <w:kern w:val="2"/>
      <w:sz w:val="21"/>
      <w:szCs w:val="21"/>
    </w:rPr>
  </w:style>
  <w:style w:type="character" w:customStyle="1" w:styleId="Char1">
    <w:name w:val="批注框文本 Char"/>
    <w:basedOn w:val="a0"/>
    <w:link w:val="a6"/>
    <w:rsid w:val="008B00FA"/>
    <w:rPr>
      <w:rFonts w:ascii="Times New Roman" w:eastAsia="仿宋_GB2312" w:hAnsi="Times New Roman" w:cs="Times New Roman"/>
      <w:kern w:val="2"/>
      <w:sz w:val="18"/>
      <w:szCs w:val="18"/>
    </w:rPr>
  </w:style>
  <w:style w:type="character" w:customStyle="1" w:styleId="Char2">
    <w:name w:val="页脚 Char"/>
    <w:basedOn w:val="a0"/>
    <w:link w:val="a7"/>
    <w:rsid w:val="008B00FA"/>
    <w:rPr>
      <w:rFonts w:ascii="Times New Roman" w:eastAsia="仿宋_GB2312" w:hAnsi="Times New Roman" w:cs="Times New Roman"/>
      <w:kern w:val="2"/>
      <w:sz w:val="18"/>
      <w:szCs w:val="18"/>
    </w:rPr>
  </w:style>
  <w:style w:type="character" w:customStyle="1" w:styleId="Char3">
    <w:name w:val="页眉 Char"/>
    <w:basedOn w:val="a0"/>
    <w:link w:val="a8"/>
    <w:rsid w:val="008B00FA"/>
    <w:rPr>
      <w:rFonts w:ascii="Times New Roman" w:eastAsia="仿宋_GB2312" w:hAnsi="Times New Roman" w:cs="Times New Roman"/>
      <w:kern w:val="2"/>
      <w:sz w:val="18"/>
      <w:szCs w:val="18"/>
    </w:rPr>
  </w:style>
  <w:style w:type="character" w:customStyle="1" w:styleId="Char4">
    <w:name w:val="批注主题 Char"/>
    <w:basedOn w:val="Char"/>
    <w:link w:val="aa"/>
    <w:rsid w:val="008B00FA"/>
    <w:rPr>
      <w:rFonts w:ascii="Times New Roman" w:eastAsia="宋体" w:hAnsi="Times New Roman" w:cs="Times New Roman"/>
      <w:b/>
      <w:bCs/>
    </w:rPr>
  </w:style>
  <w:style w:type="character" w:customStyle="1" w:styleId="font11">
    <w:name w:val="font11"/>
    <w:basedOn w:val="a0"/>
    <w:rsid w:val="008B00FA"/>
    <w:rPr>
      <w:rFonts w:ascii="仿宋" w:eastAsia="仿宋" w:hAnsi="仿宋" w:cs="仿宋" w:hint="eastAsia"/>
      <w:color w:val="00B0F0"/>
      <w:sz w:val="24"/>
      <w:szCs w:val="24"/>
      <w:u w:val="none"/>
    </w:rPr>
  </w:style>
  <w:style w:type="character" w:customStyle="1" w:styleId="font21">
    <w:name w:val="font21"/>
    <w:basedOn w:val="a0"/>
    <w:rsid w:val="008B00FA"/>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730</Words>
  <Characters>4165</Characters>
  <Application>Microsoft Office Word</Application>
  <DocSecurity>0</DocSecurity>
  <Lines>34</Lines>
  <Paragraphs>9</Paragraphs>
  <ScaleCrop>false</ScaleCrop>
  <Company>Sky123.Org</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桂工信〔2014〕号</dc:title>
  <dc:creator>Sky123.Org</dc:creator>
  <cp:lastModifiedBy>PC</cp:lastModifiedBy>
  <cp:revision>14</cp:revision>
  <cp:lastPrinted>2025-05-30T03:42:00Z</cp:lastPrinted>
  <dcterms:created xsi:type="dcterms:W3CDTF">2018-05-29T11:36:00Z</dcterms:created>
  <dcterms:modified xsi:type="dcterms:W3CDTF">2026-01-02T02:29:00Z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慧眼令牌">
    <vt:lpwstr>eyJraWQiOiJvYSIsInR5cCI6IkpXVCIsImFsZyI6IkhTMjU2In0.eyJzdWIiOiJPQS1MT0dJTiIsIm5iZiI6MTY1NjA1MDU4NiwiY29ycElkIjoiIiwiaXNzIjoiRVhPQSIsIm5hbWUiOiLmnY7pm6jnj4IiLCJleHAiOjE5NzE0MTQxODYsImlhdCI6MTY1NjA1MzU4NiwidXNlcklkIjoxMzc0MywianRpIjoib2EiLCJhY2NvdW50IjoibGl</vt:lpwstr>
  </property>
</Properties>
</file>