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ageBreakBefore w:val="0"/>
        <w:widowControl w:val="0"/>
        <w:kinsoku/>
        <w:overflowPunct/>
        <w:topLinePunct w:val="0"/>
        <w:bidi w:val="0"/>
        <w:adjustRightInd/>
        <w:spacing w:line="240" w:lineRule="auto"/>
        <w:jc w:val="left"/>
        <w:outlineLvl w:val="0"/>
        <w:rPr>
          <w:rFonts w:ascii="黑体" w:eastAsia="黑体" w:hAnsi="黑体" w:cs="黑体" w:hint="eastAsia"/>
          <w:kern w:val="44"/>
          <w:sz w:val="32"/>
          <w:szCs w:val="48"/>
          <w:lang w:val="en-US" w:eastAsia="zh-CN" w:bidi="ar-SA"/>
        </w:rPr>
      </w:pPr>
      <w:r>
        <w:rPr>
          <w:rFonts w:ascii="黑体" w:eastAsia="黑体" w:hAnsi="黑体" w:cs="黑体" w:hint="eastAsia"/>
          <w:kern w:val="44"/>
          <w:sz w:val="32"/>
          <w:szCs w:val="48"/>
          <w:lang w:val="en-US" w:eastAsia="zh-CN" w:bidi="ar-SA"/>
        </w:rPr>
        <w:t>附件1</w:t>
      </w:r>
    </w:p>
    <w:p>
      <w:pPr>
        <w:pageBreakBefore w:val="0"/>
        <w:widowControl w:val="0"/>
        <w:kinsoku/>
        <w:overflowPunct/>
        <w:topLinePunct w:val="0"/>
        <w:bidi w:val="0"/>
        <w:adjustRightInd/>
        <w:spacing w:line="240" w:lineRule="auto"/>
        <w:jc w:val="left"/>
        <w:outlineLvl w:val="0"/>
        <w:rPr>
          <w:rFonts w:ascii="黑体" w:eastAsia="黑体" w:hAnsi="黑体" w:cs="黑体" w:hint="eastAsia"/>
          <w:kern w:val="44"/>
          <w:sz w:val="32"/>
          <w:szCs w:val="48"/>
          <w:lang w:val="en-US" w:eastAsia="zh-CN" w:bidi="ar-SA"/>
        </w:rPr>
      </w:pPr>
    </w:p>
    <w:p>
      <w:pPr>
        <w:pageBreakBefore w:val="0"/>
        <w:kinsoku/>
        <w:overflowPunct/>
        <w:topLinePunct w:val="0"/>
        <w:bidi w:val="0"/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年实体经济和数字经济深度融合</w:t>
      </w:r>
    </w:p>
    <w:p>
      <w:pPr>
        <w:pageBreakBefore w:val="0"/>
        <w:kinsoku/>
        <w:overflowPunct/>
        <w:topLinePunct w:val="0"/>
        <w:bidi w:val="0"/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典型案例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要素条件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eastAsia="方正小标宋简体" w:hAnsi="Times New Roman" w:cs="Times New Roman" w:hint="default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cs="仿宋_GB2312" w:hint="eastAsia"/>
          <w:color w:val="000000"/>
          <w:highlight w:val="none"/>
          <w:lang w:val="en-US" w:eastAsia="zh-CN"/>
        </w:rPr>
      </w:pPr>
      <w:r>
        <w:rPr>
          <w:rFonts w:ascii="仿宋_GB2312" w:hAnsi="仿宋_GB2312" w:cs="仿宋_GB2312" w:hint="eastAsia"/>
          <w:color w:val="000000"/>
          <w:highlight w:val="none"/>
          <w:lang w:val="en-US" w:eastAsia="zh-CN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进一步促进实体经济和数字经济深度融合</w:t>
      </w:r>
      <w:r>
        <w:rPr>
          <w:rFonts w:ascii="仿宋_GB2312" w:hAnsi="仿宋_GB2312" w:cs="仿宋_GB2312" w:hint="eastAsia"/>
          <w:sz w:val="32"/>
          <w:szCs w:val="32"/>
          <w:lang w:val="en-US" w:eastAsia="zh-CN"/>
        </w:rPr>
        <w:t>，以信息化培育新动能，用新动能推动新发展，</w:t>
      </w:r>
      <w:r>
        <w:rPr>
          <w:rFonts w:ascii="仿宋_GB2312" w:hAnsi="仿宋_GB2312" w:cs="仿宋_GB2312" w:hint="eastAsia"/>
          <w:color w:val="auto"/>
          <w:kern w:val="0"/>
          <w:sz w:val="32"/>
          <w:szCs w:val="32"/>
          <w:highlight w:val="none"/>
          <w:lang w:val="en-US" w:eastAsia="zh-CN"/>
        </w:rPr>
        <w:t>加快新一代信息技术全方位全链条普及应用</w:t>
      </w:r>
      <w:r>
        <w:rPr>
          <w:rFonts w:ascii="仿宋_GB2312" w:hAnsi="仿宋_GB2312" w:cs="仿宋_GB2312" w:hint="eastAsia"/>
          <w:color w:val="000000"/>
          <w:highlight w:val="none"/>
          <w:lang w:val="en-US" w:eastAsia="zh-CN"/>
        </w:rPr>
        <w:t>，本次征集工作共设置以下4个方向、共1</w:t>
      </w:r>
      <w:r>
        <w:rPr>
          <w:rFonts w:ascii="仿宋_GB2312" w:hAnsi="仿宋_GB2312" w:cs="仿宋_GB2312" w:hint="eastAsia"/>
          <w:color w:val="000000"/>
          <w:highlight w:val="none"/>
          <w:lang w:val="en-US" w:eastAsia="zh-CN"/>
        </w:rPr>
        <w:t>6</w:t>
      </w:r>
      <w:r>
        <w:rPr>
          <w:rFonts w:ascii="仿宋_GB2312" w:hAnsi="仿宋_GB2312" w:cs="仿宋_GB2312" w:hint="eastAsia"/>
          <w:color w:val="000000"/>
          <w:highlight w:val="none"/>
          <w:lang w:val="en-US" w:eastAsia="zh-CN"/>
        </w:rPr>
        <w:t>个</w:t>
      </w:r>
      <w:r>
        <w:rPr>
          <w:rFonts w:ascii="仿宋_GB2312" w:hAnsi="仿宋_GB2312" w:cs="仿宋_GB2312" w:hint="eastAsia"/>
          <w:color w:val="000000"/>
          <w:highlight w:val="none"/>
          <w:lang w:val="en-US" w:eastAsia="zh-CN"/>
        </w:rPr>
        <w:t>子</w:t>
      </w:r>
      <w:r>
        <w:rPr>
          <w:rFonts w:ascii="仿宋_GB2312" w:hAnsi="仿宋_GB2312" w:cs="仿宋_GB2312" w:hint="eastAsia"/>
          <w:color w:val="000000"/>
          <w:highlight w:val="none"/>
          <w:lang w:val="en-US" w:eastAsia="zh-CN"/>
        </w:rPr>
        <w:t>方向。</w:t>
      </w:r>
    </w:p>
    <w:p>
      <w:pPr>
        <w:pageBreakBefore w:val="0"/>
        <w:widowControl w:val="0"/>
        <w:kinsoku/>
        <w:overflowPunct/>
        <w:topLinePunct w:val="0"/>
        <w:bidi w:val="0"/>
        <w:adjustRightInd/>
        <w:spacing w:line="240" w:lineRule="auto"/>
        <w:ind w:firstLine="640" w:firstLineChars="200"/>
        <w:jc w:val="both"/>
        <w:outlineLvl w:val="0"/>
        <w:rPr>
          <w:rFonts w:ascii="Times New Roman" w:eastAsia="黑体" w:hAnsi="Times New Roman" w:cs="Times New Roman" w:hint="default"/>
          <w:kern w:val="44"/>
          <w:sz w:val="32"/>
          <w:szCs w:val="48"/>
          <w:lang w:val="en-US" w:eastAsia="zh-CN" w:bidi="ar-SA"/>
        </w:rPr>
      </w:pPr>
      <w:r>
        <w:rPr>
          <w:rFonts w:ascii="Times New Roman" w:eastAsia="黑体" w:hAnsi="Times New Roman" w:cs="Times New Roman" w:hint="default"/>
          <w:kern w:val="44"/>
          <w:sz w:val="32"/>
          <w:szCs w:val="48"/>
          <w:lang w:val="en-US" w:eastAsia="zh-CN" w:bidi="ar-SA"/>
        </w:rPr>
        <w:t>一、数字化转型通用工具产品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ascii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面向数字化通用工具产品，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聚焦</w:t>
      </w:r>
      <w:r>
        <w:rPr>
          <w:rFonts w:ascii="仿宋_GB2312" w:hAnsi="仿宋_GB2312" w:cs="仿宋_GB2312" w:hint="eastAsia"/>
          <w:highlight w:val="none"/>
          <w:lang w:val="en-US" w:eastAsia="zh-CN"/>
        </w:rPr>
        <w:t>数字化转型过程中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数字化工具产品标准化程度不高、使用成本高、二次开发难度大等问题，</w:t>
      </w:r>
      <w:r>
        <w:rPr>
          <w:rFonts w:ascii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在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数字化感知和检测工具、数字化专用装置、数字化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中间件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、数字化边缘节点、SaaS化企业管理软件等</w:t>
      </w:r>
      <w:r>
        <w:rPr>
          <w:rFonts w:ascii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方面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，遴选一批普适化、标准化、智能化通用工具产品应用典型案例</w:t>
      </w:r>
      <w:r>
        <w:rPr>
          <w:rFonts w:ascii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20"/>
          <w:highlight w:val="none"/>
          <w:lang w:val="en-US" w:eastAsia="zh-CN"/>
        </w:rPr>
        <w:t>通过低成本、轻配置、普适性的数字化工具产品矩阵，引导企业加快数字化转型</w:t>
      </w:r>
      <w:r>
        <w:rPr>
          <w:rFonts w:ascii="仿宋_GB2312" w:hAnsi="仿宋_GB2312" w:cs="仿宋_GB2312" w:hint="eastAsia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（一）数字化感知和检测工具</w:t>
      </w:r>
    </w:p>
    <w:p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（1）物料感知类：指利用光谱、色谱、质谱等检测手段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获取生产物料的材料成分、晶体结构等信息并实现数据分析的工具，包括但不限于光谱水质监测仪、液相色谱仪、气相色谱质谱联用仪等。（2）测量工具类：指运用X光、红外、激光、声波、电磁、压力等感知技术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测量产品的色差、体积、形状、质量、温度、位置等</w:t>
      </w:r>
      <w:r>
        <w:rPr>
          <w:rFonts w:ascii="仿宋_GB2312" w:hAnsi="仿宋_GB2312" w:cs="仿宋_GB2312" w:hint="eastAsia"/>
          <w:sz w:val="32"/>
          <w:szCs w:val="32"/>
          <w:lang w:val="en-US" w:eastAsia="zh-CN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并进行数据分析的工具，包括但不限于智能成像仪、智能游标卡尺、智能仪器仪表、雷达物位计等。（3）检测工具类：指运用3D视觉、机器学习、激光感知等技术，对产品质量、生产过程、运行状态、环境安全等进行性能检测、数据分析、监测预警的工具，包括但不限于缺陷检测仪、功能检测仪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（二）数字化专用装置</w:t>
      </w:r>
    </w:p>
    <w:p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hAnsi="Times New Roman" w:cs="Times New Roman" w:hint="default"/>
          <w:b w:val="0"/>
          <w:bCs w:val="0"/>
          <w:sz w:val="32"/>
          <w:szCs w:val="32"/>
          <w:lang w:val="en-US" w:eastAsia="zh-CN"/>
        </w:rPr>
        <w:t>通过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综合利用红外感知、激光感知、机器视觉、人机交互、机器学习等技术，实现研发设计、生产制造、</w:t>
      </w:r>
      <w:r>
        <w:rPr>
          <w:rFonts w:ascii="Times New Roman" w:eastAsia="仿宋_GB2312" w:hAnsi="Times New Roman" w:cs="Times New Roman" w:hint="default"/>
          <w:sz w:val="32"/>
          <w:szCs w:val="20"/>
          <w:highlight w:val="none"/>
        </w:rPr>
        <w:t>物流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运输等环节智能化应用的装置，包括但不限于装配机器人、喷涂机器人、智能立体仓库等单一功能或集成式工具。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</w:pPr>
      <w:r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  <w:t>（三）数字化</w:t>
      </w:r>
      <w:r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  <w:t>“</w:t>
      </w:r>
      <w:r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  <w:t>中间件</w:t>
      </w:r>
      <w:r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  <w:t>”</w:t>
      </w:r>
    </w:p>
    <w:p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（1）硬件协议：指用于定义设备之间如何连接和沟通的规则，包括但不限于Modbus、OPC、UART等嵌入式工业通信接口协议。（2）应用软件连接件（接缝）：指基于数据字典体系规则开发的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用于实现不同应用软件之间数据交互、协议转换、安全隔离等功能的软件工具，包括但不限于软件接口适配工具、数据字典语义转换工具、数据字典测试验证工具、应用总线等。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（四）数字化边缘节点</w:t>
      </w:r>
    </w:p>
    <w:p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在数据源头的边缘侧具有融合网络、计算、存储、应用等核心能力的一体化数字化设备，实现工厂侧</w:t>
      </w:r>
      <w:r>
        <w:rPr>
          <w:rFonts w:ascii="Times New Roman" w:eastAsia="仿宋_GB2312" w:hAnsi="Times New Roman" w:cs="Times New Roman" w:hint="default"/>
          <w:sz w:val="32"/>
          <w:szCs w:val="20"/>
          <w:highlight w:val="none"/>
        </w:rPr>
        <w:t>局部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协同优化，包括但不限于边缘服务器、边缘网关、边缘控制器等智能设备。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</w:pPr>
      <w:r>
        <w:rPr>
          <w:rFonts w:ascii="楷体" w:eastAsia="楷体" w:hAnsi="楷体" w:cs="楷体" w:hint="eastAsia"/>
          <w:kern w:val="2"/>
          <w:sz w:val="32"/>
          <w:szCs w:val="22"/>
          <w:lang w:val="en-US" w:eastAsia="zh-CN" w:bidi="ar-SA"/>
        </w:rPr>
        <w:t>（五）SaaS化企业管理软件</w:t>
      </w:r>
    </w:p>
    <w:p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研产供销服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中人财物的数字化管理目标，针对生产和经营的业务场景的共性需求，形成通用的功能、业务流程和数据智能等应用，如通过预置的嵌入式人工智能数据报表等功能，实现面向用户的场景化选配、即开即用、付费即用（标准化）的各类管理软件。包括但不限于ERP（企业资源计划）、协同办公、财务管理、人力资源管理、供应链管理、客户关系管理、精益管理等应用。</w:t>
      </w:r>
    </w:p>
    <w:p>
      <w:pPr>
        <w:pageBreakBefore w:val="0"/>
        <w:widowControl w:val="0"/>
        <w:kinsoku/>
        <w:overflowPunct/>
        <w:topLinePunct w:val="0"/>
        <w:bidi w:val="0"/>
        <w:adjustRightInd/>
        <w:spacing w:line="240" w:lineRule="auto"/>
        <w:ind w:firstLine="640" w:firstLineChars="200"/>
        <w:jc w:val="both"/>
        <w:outlineLvl w:val="0"/>
        <w:rPr>
          <w:rFonts w:ascii="Times New Roman" w:eastAsia="黑体" w:hAnsi="Times New Roman" w:cs="Times New Roman" w:hint="default"/>
          <w:kern w:val="44"/>
          <w:sz w:val="32"/>
          <w:szCs w:val="48"/>
          <w:lang w:val="en-US" w:eastAsia="zh-CN" w:bidi="ar-SA"/>
        </w:rPr>
      </w:pPr>
      <w:r>
        <w:rPr>
          <w:rFonts w:ascii="Times New Roman" w:eastAsia="黑体" w:hAnsi="Times New Roman" w:cs="Times New Roman" w:hint="default"/>
          <w:kern w:val="44"/>
          <w:sz w:val="32"/>
          <w:szCs w:val="48"/>
          <w:lang w:val="en-US" w:eastAsia="zh-CN" w:bidi="ar-SA"/>
        </w:rPr>
        <w:t>二、工业互联网平台创新领航应用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面向基于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工业互联网平台</w:t>
      </w:r>
      <w:r>
        <w:rPr>
          <w:rFonts w:ascii="Times New Roman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开展模式创新的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工业企业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cs="Times New Roman" w:hint="default"/>
          <w:highlight w:val="none"/>
          <w:lang w:val="en-US" w:eastAsia="zh-CN"/>
        </w:rPr>
        <w:t>聚焦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数据难流通、跨环节难集成、企业难协同等问题，</w:t>
      </w:r>
      <w:r>
        <w:rPr>
          <w:rFonts w:ascii="Times New Roman" w:hAnsi="Times New Roman" w:cs="Times New Roman" w:hint="default"/>
          <w:szCs w:val="32"/>
          <w:highlight w:val="none"/>
          <w:lang w:val="en-US" w:eastAsia="zh-CN"/>
        </w:rPr>
        <w:t>在</w:t>
      </w:r>
      <w:r>
        <w:rPr>
          <w:rFonts w:ascii="Times New Roman" w:eastAsia="仿宋_GB2312" w:hAnsi="Times New Roman" w:cs="Times New Roman" w:hint="default"/>
          <w:sz w:val="32"/>
          <w:szCs w:val="20"/>
          <w:highlight w:val="none"/>
          <w:lang w:val="en-US" w:eastAsia="zh-CN"/>
        </w:rPr>
        <w:t>平台化设计、数字化管理、智能化制造、网络化协同、个性化定制和服务化</w:t>
      </w:r>
      <w:r>
        <w:rPr>
          <w:rFonts w:ascii="Times New Roman" w:hAnsi="Times New Roman" w:cs="Times New Roman" w:hint="default"/>
          <w:sz w:val="32"/>
          <w:szCs w:val="20"/>
          <w:highlight w:val="none"/>
          <w:lang w:val="en-US" w:eastAsia="zh-CN"/>
        </w:rPr>
        <w:t>延伸</w:t>
      </w:r>
      <w:r>
        <w:rPr>
          <w:rFonts w:ascii="Times New Roman" w:eastAsia="仿宋_GB2312" w:hAnsi="Times New Roman" w:cs="Times New Roman" w:hint="default"/>
          <w:sz w:val="32"/>
          <w:szCs w:val="20"/>
          <w:highlight w:val="none"/>
          <w:lang w:val="en-US" w:eastAsia="zh-CN"/>
        </w:rPr>
        <w:t>等</w:t>
      </w:r>
      <w:r>
        <w:rPr>
          <w:rFonts w:ascii="Times New Roman" w:hAnsi="Times New Roman" w:cs="Times New Roman" w:hint="default"/>
          <w:sz w:val="32"/>
          <w:szCs w:val="20"/>
          <w:highlight w:val="none"/>
          <w:lang w:val="en-US" w:eastAsia="zh-CN"/>
        </w:rPr>
        <w:t>方面</w:t>
      </w:r>
      <w:r>
        <w:rPr>
          <w:rFonts w:ascii="Times New Roman" w:eastAsia="仿宋_GB2312" w:hAnsi="Times New Roman" w:cs="Times New Roman" w:hint="default"/>
          <w:sz w:val="32"/>
          <w:szCs w:val="20"/>
          <w:highlight w:val="none"/>
          <w:lang w:val="en-US" w:eastAsia="zh-CN"/>
        </w:rPr>
        <w:t>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遴选</w:t>
      </w:r>
      <w:r>
        <w:rPr>
          <w:rFonts w:ascii="Times New Roman" w:hAnsi="Times New Roman" w:cs="Times New Roman" w:hint="default"/>
          <w:szCs w:val="32"/>
          <w:highlight w:val="none"/>
        </w:rPr>
        <w:t>一批技术先进、模式创新</w:t>
      </w:r>
      <w:r>
        <w:rPr>
          <w:rFonts w:ascii="Times New Roman" w:hAnsi="Times New Roman" w:cs="Times New Roman" w:hint="default"/>
          <w:szCs w:val="32"/>
          <w:highlight w:val="none"/>
          <w:lang w:val="en-US" w:eastAsia="zh-CN"/>
        </w:rPr>
        <w:t>、</w:t>
      </w:r>
      <w:r>
        <w:rPr>
          <w:rFonts w:ascii="Times New Roman" w:hAnsi="Times New Roman" w:cs="Times New Roman" w:hint="default"/>
          <w:szCs w:val="32"/>
          <w:highlight w:val="none"/>
        </w:rPr>
        <w:t>成效</w:t>
      </w:r>
      <w:r>
        <w:rPr>
          <w:rFonts w:ascii="Times New Roman" w:hAnsi="Times New Roman" w:cs="Times New Roman" w:hint="default"/>
          <w:szCs w:val="32"/>
          <w:highlight w:val="none"/>
          <w:lang w:val="en-US" w:eastAsia="zh-CN"/>
        </w:rPr>
        <w:t>突出</w:t>
      </w:r>
      <w:r>
        <w:rPr>
          <w:rFonts w:ascii="Times New Roman" w:hAnsi="Times New Roman" w:cs="Times New Roman" w:hint="default"/>
          <w:szCs w:val="32"/>
          <w:highlight w:val="none"/>
        </w:rPr>
        <w:t>、</w:t>
      </w:r>
      <w:r>
        <w:rPr>
          <w:rFonts w:ascii="Times New Roman" w:hAnsi="Times New Roman" w:cs="Times New Roman" w:hint="default"/>
          <w:szCs w:val="32"/>
          <w:highlight w:val="none"/>
          <w:lang w:val="en-US" w:eastAsia="zh-CN"/>
        </w:rPr>
        <w:t>规模推广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cs="Times New Roman" w:hint="default"/>
          <w:szCs w:val="32"/>
          <w:highlight w:val="none"/>
        </w:rPr>
        <w:t>工业互联网平台</w:t>
      </w:r>
      <w:r>
        <w:rPr>
          <w:rFonts w:ascii="Times New Roman" w:hAnsi="Times New Roman" w:cs="Times New Roman" w:hint="default"/>
          <w:szCs w:val="32"/>
          <w:highlight w:val="none"/>
          <w:lang w:val="en-US" w:eastAsia="zh-CN"/>
        </w:rPr>
        <w:t>模式创新典型案例。通过</w:t>
      </w:r>
      <w:r>
        <w:rPr>
          <w:rFonts w:ascii="Times New Roman" w:eastAsia="仿宋_GB2312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跨场景</w:t>
      </w:r>
      <w:r>
        <w:rPr>
          <w:rFonts w:ascii="Times New Roman" w:hAnsi="Times New Roman" w:cs="Times New Roman" w:hint="default"/>
          <w:color w:val="000000"/>
          <w:kern w:val="0"/>
          <w:sz w:val="32"/>
          <w:szCs w:val="32"/>
          <w:highlight w:val="none"/>
          <w:lang w:val="en-US" w:eastAsia="zh-CN"/>
        </w:rPr>
        <w:t>协同的</w:t>
      </w:r>
      <w:r>
        <w:rPr>
          <w:rFonts w:ascii="Times New Roman" w:hAnsi="Times New Roman" w:cs="Times New Roman" w:hint="default"/>
          <w:szCs w:val="32"/>
          <w:highlight w:val="none"/>
          <w:lang w:val="en-US" w:eastAsia="zh-CN"/>
        </w:rPr>
        <w:t>平台新模式标杆样板，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助力企业创新发展和产业变革</w:t>
      </w:r>
      <w:r>
        <w:rPr>
          <w:rFonts w:ascii="Times New Roman" w:hAnsi="Times New Roman" w:cs="Times New Roman" w:hint="default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（一）平台化设计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工业设计资源分散、工具软件落后和创新能力偏弱等问题，基于工业互联网平台汇聚各领域研发设计资源，通过数据积累和机器深度学习，促进工业知识经验沉淀、仿真设计工具创新，实现轻量化、并行、敏捷、交互和模块化设计，提高产品设计水平、协同研发效率和成本控制能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（二）数字化管理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工业企业数据开发利用程度低、管理决策效率低和信息孤岛等问题，基于工业互联网平台贯通全业务链数据，通过智能传感器、物联网等技术，构建数字化供应链管理体系，引领企业打造数字化驾驶舱，实现组织架构优化、动态精准服务、辅助管理决策等管理模式创新，提升企业经营管理能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（三）智能化制造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聚焦信息技术应用能力差、生产效率低和管控能力弱等问题，基于工业互联网平台促进生产制造全过程数字化改造，推动企业智能制造单元、智能产线、智能车间建设，加快制造执行系统的</w:t>
      </w:r>
      <w:r>
        <w:rPr>
          <w:rFonts w:ascii="Times New Roman" w:hAnsi="Times New Roman" w:cs="Times New Roman" w:hint="default"/>
          <w:sz w:val="32"/>
          <w:szCs w:val="32"/>
          <w:lang w:val="en-US" w:eastAsia="zh-CN"/>
        </w:rPr>
        <w:t>云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化部署和优化升级，实现对生产制造过程的动态感知、实时分析与科学决策，提升生产效率和产品质量。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（四）网络化协同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产业链结构复杂、信息不对称、协作效率低等问题，基于工业互联网平台汇聚设计、制造、运维、供应链等各环节主体，推动关键数据共享、业务互联和制造资源优化配置，实现跨企业、跨地区、跨行业的研发协同、制造协同、供应协同，打造覆盖产品全生命周期的云化服务与协同服务，以数据价值网络推动产业链延伸与价值链升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（五）个性化定制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产品同质化程度高、附加值较低和多元化需求无法有效满足等问题，基于工业互联网平台增强用户在产品全生命周期中的参与度，精准挖掘分析用户需求，并基于数据整合分析、模型库共享与供应商协同，实现模块化与个性化设计、柔性化生产、智能仓储和准时交付，实现高效率、零库存的生产模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（六）服务化延伸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传统制造竞争力下降、工业企业产品供应模式单一和售后服务要求高等问题，基于工业互联网平台实现对产品的远程互联和数据分析，发展产品追溯、远程运维、分享制造、供应链金融、回收利用等创新型服务模式，推动制造向服务转变、从出售产品到</w:t>
      </w:r>
      <w:r>
        <w:rPr>
          <w:rFonts w:ascii="Times New Roman" w:eastAsia="仿宋_GB2312" w:hAnsi="Times New Roman" w:cs="Times New Roman" w:hint="default"/>
          <w:sz w:val="32"/>
          <w:szCs w:val="32"/>
        </w:rPr>
        <w:t>“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产品+服务</w:t>
      </w:r>
      <w:r>
        <w:rPr>
          <w:rFonts w:ascii="Times New Roman" w:eastAsia="仿宋_GB2312" w:hAnsi="Times New Roman" w:cs="Times New Roman" w:hint="default"/>
          <w:sz w:val="32"/>
          <w:szCs w:val="32"/>
        </w:rPr>
        <w:t>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转变。</w:t>
      </w:r>
    </w:p>
    <w:p>
      <w:pPr>
        <w:pageBreakBefore w:val="0"/>
        <w:widowControl w:val="0"/>
        <w:kinsoku/>
        <w:overflowPunct/>
        <w:topLinePunct w:val="0"/>
        <w:bidi w:val="0"/>
        <w:adjustRightInd/>
        <w:spacing w:line="240" w:lineRule="auto"/>
        <w:ind w:firstLine="640" w:firstLineChars="200"/>
        <w:jc w:val="both"/>
        <w:outlineLvl w:val="0"/>
        <w:rPr>
          <w:rFonts w:ascii="Times New Roman" w:eastAsia="黑体" w:hAnsi="Times New Roman" w:cs="Times New Roman" w:hint="default"/>
          <w:kern w:val="44"/>
          <w:sz w:val="32"/>
          <w:szCs w:val="48"/>
          <w:highlight w:val="none"/>
          <w:lang w:val="en-US" w:eastAsia="zh-CN" w:bidi="ar-SA"/>
        </w:rPr>
      </w:pPr>
      <w:r>
        <w:rPr>
          <w:rFonts w:ascii="Times New Roman" w:eastAsia="黑体" w:hAnsi="Times New Roman" w:cs="Times New Roman" w:hint="default"/>
          <w:kern w:val="44"/>
          <w:sz w:val="32"/>
          <w:szCs w:val="48"/>
          <w:highlight w:val="none"/>
          <w:lang w:val="en-US" w:eastAsia="zh-CN" w:bidi="ar-SA"/>
        </w:rPr>
        <w:t>三、数字领航企业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cs="Times New Roman" w:hint="default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>面向优质制造业企业，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聚焦制造业数字化转型路径不清晰、应用落地难、效益不明显等问题，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>在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大企业、中小企业等方面</w:t>
      </w:r>
      <w:r>
        <w:rPr>
          <w:rFonts w:ascii="Times New Roman" w:hAnsi="Times New Roman" w:cs="Times New Roman" w:hint="default"/>
          <w:sz w:val="32"/>
          <w:szCs w:val="32"/>
          <w:lang w:val="en-US" w:eastAsia="zh-CN"/>
        </w:rPr>
        <w:t>，遴选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一批技术创新应用、业务模式优越、组织管理高效、价值效益突出、具有较强引领带动作用的数字领航企业典型案例。通过标杆引领带动更多制造企业开展数字化转型实践，输出优质解决方案和转型经验，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加快产业整体转型升级。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（一）数字领航企业（大企业）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聚焦</w:t>
      </w:r>
      <w:r>
        <w:rPr>
          <w:rFonts w:ascii="Times New Roman" w:hAnsi="Times New Roman" w:cs="Times New Roman" w:hint="default"/>
          <w:sz w:val="32"/>
          <w:szCs w:val="32"/>
          <w:lang w:val="en-US" w:eastAsia="zh-CN"/>
        </w:rPr>
        <w:t>大企业数字化转型战略路径不清晰、技术应用不协调、组织架构不适应等问题，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引导</w:t>
      </w:r>
      <w:r>
        <w:rPr>
          <w:rFonts w:ascii="Times New Roman" w:hAnsi="Times New Roman" w:cs="Times New Roman" w:hint="default"/>
          <w:sz w:val="32"/>
          <w:szCs w:val="32"/>
          <w:lang w:val="en-US" w:eastAsia="zh-CN"/>
        </w:rPr>
        <w:t>大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企业深化新一代信息技术融合应用，加速全环节、全要素、全链条数字化改造，并沉淀一批技术先进、效益良好的系统解决方案，带动产业链上下游协同转型。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（二）数字领航企业（中小企业）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聚焦中小企业数字化转型</w:t>
      </w:r>
      <w:r>
        <w:rPr>
          <w:rFonts w:ascii="Times New Roman" w:hAnsi="Times New Roman" w:cs="Times New Roman" w:hint="eastAsia"/>
          <w:b w:val="0"/>
          <w:bCs w:val="0"/>
          <w:sz w:val="32"/>
          <w:szCs w:val="20"/>
          <w:highlight w:val="none"/>
          <w:lang w:val="en-US" w:eastAsia="zh-CN"/>
        </w:rPr>
        <w:t>深度有待提高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等问题，引导中小企业聚焦重点业务场景关键需求和外部产业链配套需求，探索新一代信息技术应用场景，加快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“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小快轻准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”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>数字化技术产品和解决方案应用普及，针对性提升成本、质量、效率、绿色、安全等方面效益，塑造差异化竞争力优势，实现高质量发展。</w:t>
      </w:r>
    </w:p>
    <w:p>
      <w:pPr>
        <w:widowControl w:val="0"/>
        <w:bidi w:val="0"/>
        <w:adjustRightInd/>
        <w:spacing w:line="240" w:lineRule="auto"/>
        <w:ind w:firstLine="640" w:firstLineChars="200"/>
        <w:jc w:val="both"/>
        <w:outlineLvl w:val="0"/>
        <w:rPr>
          <w:rFonts w:ascii="Times New Roman" w:eastAsia="黑体" w:hAnsi="Times New Roman" w:cs="Times New Roman" w:hint="default"/>
          <w:kern w:val="44"/>
          <w:sz w:val="32"/>
          <w:szCs w:val="48"/>
          <w:lang w:val="en-US" w:eastAsia="zh-CN" w:bidi="ar-SA"/>
        </w:rPr>
      </w:pPr>
      <w:r>
        <w:rPr>
          <w:rFonts w:ascii="Times New Roman" w:eastAsia="黑体" w:hAnsi="Times New Roman" w:cs="Times New Roman" w:hint="default"/>
          <w:kern w:val="44"/>
          <w:sz w:val="32"/>
          <w:szCs w:val="48"/>
          <w:lang w:val="en-US" w:eastAsia="zh-CN" w:bidi="ar-SA"/>
        </w:rPr>
        <w:t>四、数字化供应链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 w:hint="default"/>
          <w:highlight w:val="none"/>
          <w:lang w:val="en-US" w:eastAsia="zh-CN"/>
        </w:rPr>
        <w:t>面向培育数字化生态的供应链上下游，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lang w:val="en-US" w:eastAsia="zh-CN"/>
        </w:rPr>
        <w:t>聚焦数字化供应链生态上下游业务协同水平不高、全链条数据贯通难度大、系统解决方案供给不足等问题，在数字化供应链关键环节优化、数字化供应链全链条互联集成、数字化供应链全生态协同创新等方面，遴选一批数字化供应链典型案例</w:t>
      </w:r>
      <w:r>
        <w:rPr>
          <w:rFonts w:ascii="Times New Roman" w:hAnsi="Times New Roman" w:cs="Times New Roman" w:hint="default"/>
          <w:b w:val="0"/>
          <w:bCs w:val="0"/>
          <w:sz w:val="32"/>
          <w:szCs w:val="20"/>
          <w:lang w:val="en-US" w:eastAsia="zh-CN"/>
        </w:rPr>
        <w:t>。通过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lang w:val="en-US" w:eastAsia="zh-CN"/>
        </w:rPr>
        <w:t>提炼总结数字化供应链建设的优秀经验，为企业开展数字化供应链建设提供指引和参考。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（一）数字化供应链关键环节优化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聚焦数字化供应链关键环节，通过新一代信息技术融合应用</w:t>
      </w:r>
      <w:r>
        <w:rPr>
          <w:rFonts w:ascii="Times New Roman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推动基于数据分析和模型应用的流程再造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和业务环节优化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，开展供应链计划与预测、多元化寻源与采购、柔性化生产管理、订单精准交付、数字化客户服务</w:t>
      </w:r>
      <w:r>
        <w:rPr>
          <w:rFonts w:ascii="Times New Roman" w:eastAsia="仿宋_GB2312" w:hAnsi="Times New Roman" w:cs="Times New Roman" w:hint="default"/>
          <w:sz w:val="32"/>
          <w:szCs w:val="32"/>
          <w:lang w:bidi="ar"/>
        </w:rPr>
        <w:t>等，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全面提升供应链数字化运营水平，推动数字化供应链效率提升。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（二）数字化供应链全链条互联集成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Times New Roman" w:eastAsia="仿宋_GB2312" w:hAnsi="Times New Roman" w:cs="Times New Roman" w:hint="default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聚焦数字化供应链关键业务管控，通过新一代信息技术融合应用</w:t>
      </w:r>
      <w:r>
        <w:rPr>
          <w:rFonts w:ascii="Times New Roman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推动供应链核心业务集成运作和数据端到端集成，开展供</w:t>
      </w:r>
      <w:r>
        <w:rPr>
          <w:rFonts w:ascii="仿宋_GB2312" w:eastAsia="仿宋_GB2312" w:hAnsi="仿宋_GB2312" w:cs="仿宋_GB2312" w:hint="eastAsia"/>
          <w:sz w:val="32"/>
          <w:szCs w:val="32"/>
        </w:rPr>
        <w:t>应链网络结构仿真建模设计、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基于组合式BOM的生产制造、基于订单仿真的物流调度、面向区域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ar"/>
        </w:rPr>
        <w:t>协同的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供应链管理服务</w:t>
      </w:r>
      <w:r>
        <w:rPr>
          <w:rFonts w:ascii="仿宋_GB2312" w:hAnsi="仿宋_GB2312" w:cs="仿宋_GB2312" w:hint="eastAsia"/>
          <w:sz w:val="32"/>
          <w:szCs w:val="32"/>
          <w:lang w:eastAsia="zh-CN" w:bidi="ar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供应链风险预测与防控、供应链综合绩效监测、供应链安全应急机制建设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实现供应链资源全流程全链条追溯，全面提升供应链柔性和韧性水平，打造上下游协同联动的数字化供应链网络。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</w:pPr>
      <w:r>
        <w:rPr>
          <w:rFonts w:ascii="Times New Roman" w:eastAsia="楷体" w:hAnsi="Times New Roman" w:cs="Times New Roman" w:hint="default"/>
          <w:kern w:val="2"/>
          <w:sz w:val="32"/>
          <w:szCs w:val="22"/>
          <w:lang w:val="en-US" w:eastAsia="zh-CN" w:bidi="ar-SA"/>
        </w:rPr>
        <w:t>（三）数字化供应链全生态协同创新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ascii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聚焦数字化供应链生态运营，通过新一代信息技术融合应用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推动供应链战略优化、内外部资源整合和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基于第三方平台的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服务模式创新，开展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供应链+集采集销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”“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供应链+数字金融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”“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供应链+AI大模型</w:t>
      </w:r>
      <w:r>
        <w:rPr>
          <w:rFonts w:ascii="仿宋_GB2312" w:hAnsi="仿宋_GB2312" w:cs="仿宋_GB2312" w:hint="eastAsia"/>
          <w:sz w:val="32"/>
          <w:szCs w:val="32"/>
          <w:lang w:eastAsia="zh-CN"/>
        </w:rPr>
        <w:t>”“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工业互联网平台+供应链</w:t>
      </w:r>
      <w:r>
        <w:rPr>
          <w:rFonts w:ascii="仿宋_GB2312" w:hAnsi="仿宋_GB2312" w:cs="仿宋_GB2312" w:hint="eastAsia"/>
          <w:sz w:val="32"/>
          <w:szCs w:val="32"/>
          <w:lang w:eastAsia="zh-CN" w:bidi="ar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等新模式，以数据驱动供应链业务重构和机制创新，构建开放共享、价值共创的数字化供应链生态系统。</w:t>
      </w:r>
    </w:p>
    <w:sectPr>
      <w:footerReference w:type="default" r:id="rId4"/>
      <w:type w:val="nextPage"/>
      <w:pgSz w:w="11906" w:h="16838"/>
      <w:pgMar w:top="1417" w:right="1587" w:bottom="1417" w:left="1701" w:header="851" w:footer="992" w:gutter="0"/>
      <w:paperSrc w:first="0" w:other="0"/>
      <w:pgNumType w:fmt="decimal"/>
      <w:cols w:space="720"/>
      <w:titlePg w:val="0"/>
      <w:rtlGutter w:val="0"/>
      <w:docGrid w:type="linesAndChars" w:linePitch="636" w:charSpace="-250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v-text-anchor:top;z-index:251658240" filled="f" stroked="f" strokeweight="0.5pt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8BA36"/>
    <w:multiLevelType w:val="multilevel"/>
    <w:tmpl w:val="C1E8BA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CC1EF4"/>
    <w:rsid w:val="B7FEE8D1"/>
    <w:rsid w:val="FDF97DFE"/>
    <w:rsid w:val="0A206642"/>
    <w:rsid w:val="0B933D5F"/>
    <w:rsid w:val="1AB1523A"/>
    <w:rsid w:val="23EE4824"/>
    <w:rsid w:val="2A0D3456"/>
    <w:rsid w:val="32CEB5F7"/>
    <w:rsid w:val="34E81472"/>
    <w:rsid w:val="3DCC1EF4"/>
    <w:rsid w:val="52083A82"/>
    <w:rsid w:val="52ED0192"/>
    <w:rsid w:val="5E265C22"/>
    <w:rsid w:val="664D7EC8"/>
    <w:rsid w:val="723C766C"/>
    <w:rsid w:val="75F321AB"/>
  </w:rsids>
  <w:docVars>
    <w:docVar w:name="commondata" w:val="eyJoZGlkIjoiNWFlMzUyZjZmNTYzNGM3NWE0MjZmOGEyZmIyYWExMW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er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ascii="Calibri" w:eastAsia="黑体" w:hAnsi="Calibri"/>
      <w:kern w:val="44"/>
      <w:sz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eastAsia="楷体" w:hAnsi="Arial"/>
      <w:sz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Heading4">
    <w:name w:val="heading 4"/>
    <w:basedOn w:val="Normal"/>
    <w:next w:val="Normal"/>
    <w:unhideWhenUsed/>
    <w:qFormat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Heading5">
    <w:name w:val="heading 5"/>
    <w:basedOn w:val="Normal"/>
    <w:next w:val="Normal"/>
    <w:unhideWhenUsed/>
    <w:qFormat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unhideWhenUsed/>
    <w:qFormat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Heading8">
    <w:name w:val="heading 8"/>
    <w:basedOn w:val="Normal"/>
    <w:next w:val="Normal"/>
    <w:unhideWhenUsed/>
    <w:qFormat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unhideWhenUsed/>
    <w:qFormat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157263840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陈</dc:creator>
  <cp:lastModifiedBy>gxxc</cp:lastModifiedBy>
  <cp:revision>1</cp:revision>
  <dcterms:created xsi:type="dcterms:W3CDTF">2024-10-29T06:41:00Z</dcterms:created>
  <dcterms:modified xsi:type="dcterms:W3CDTF">2024-10-31T15:35:50Z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2846B1C75CDD4BCD865B54DB2E2F2439_11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czMDM1NTgxMywiY29ycElkIjoiIiwiaXNzIjoiRVhPQSIsIm5hbWUiOiLmnY7pm6jnj4IiLCJleHAiOjIwNDU3MTk0MTMsImlhdCI6MTczMDM1ODgxMywidXNlcklkIjoxMzc0MywianRpIjoib2EiLCJhY2NvdW50IjoibGl5ayJ9.yGaJr-sr4gsBKYnJLMbhtkNDL5fp-5iNy3YTrapYkPI</vt:lpwstr>
  </property>
</Properties>
</file>