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center" w:pos="7040"/>
          <w:tab w:val="left" w:pos="9277"/>
        </w:tabs>
        <w:spacing w:line="600" w:lineRule="exact"/>
        <w:jc w:val="center"/>
        <w:rPr>
          <w:rFonts w:hint="eastAsia" w:ascii="黑体" w:hAnsi="黑体" w:eastAsia="黑体"/>
          <w:color w:val="000000"/>
          <w:kern w:val="0"/>
          <w:sz w:val="32"/>
          <w:szCs w:val="32"/>
        </w:rPr>
      </w:pPr>
      <w:bookmarkStart w:id="0" w:name="_GoBack"/>
      <w:bookmarkEnd w:id="0"/>
    </w:p>
    <w:p>
      <w:pPr>
        <w:tabs>
          <w:tab w:val="center" w:pos="7040"/>
          <w:tab w:val="left" w:pos="9277"/>
        </w:tabs>
        <w:spacing w:line="600" w:lineRule="exact"/>
        <w:jc w:val="center"/>
        <w:rPr>
          <w:rFonts w:ascii="方正小标宋_GBK" w:hAnsi="宋体" w:eastAsia="方正小标宋_GBK" w:cs="宋体"/>
          <w:w w:val="80"/>
          <w:sz w:val="44"/>
          <w:szCs w:val="44"/>
        </w:rPr>
      </w:pPr>
      <w:r>
        <w:rPr>
          <w:rFonts w:hint="eastAsia" w:ascii="方正小标宋_GBK" w:eastAsia="方正小标宋_GBK"/>
          <w:kern w:val="0"/>
          <w:sz w:val="44"/>
          <w:szCs w:val="44"/>
        </w:rPr>
        <w:t>钦州市工业和信息化局</w:t>
      </w:r>
      <w:r>
        <w:rPr>
          <w:rFonts w:hint="eastAsia" w:ascii="方正小标宋_GBK" w:eastAsia="方正小标宋_GBK"/>
          <w:w w:val="80"/>
          <w:kern w:val="0"/>
          <w:sz w:val="44"/>
          <w:szCs w:val="44"/>
        </w:rPr>
        <w:t>重大执法决定法制审核事项清单</w:t>
      </w:r>
    </w:p>
    <w:p>
      <w:pPr>
        <w:tabs>
          <w:tab w:val="center" w:pos="7040"/>
          <w:tab w:val="left" w:pos="9277"/>
        </w:tabs>
        <w:spacing w:line="600" w:lineRule="exact"/>
        <w:jc w:val="center"/>
        <w:rPr>
          <w:rFonts w:ascii="宋体" w:hAnsi="宋体" w:eastAsia="宋体" w:cs="宋体"/>
          <w:w w:val="80"/>
          <w:sz w:val="44"/>
          <w:szCs w:val="44"/>
        </w:rPr>
      </w:pPr>
    </w:p>
    <w:tbl>
      <w:tblPr>
        <w:tblStyle w:val="7"/>
        <w:tblW w:w="15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20"/>
        <w:gridCol w:w="2127"/>
        <w:gridCol w:w="7371"/>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blHeader/>
          <w:jc w:val="center"/>
        </w:trPr>
        <w:tc>
          <w:tcPr>
            <w:tcW w:w="828" w:type="dxa"/>
            <w:vAlign w:val="center"/>
          </w:tcPr>
          <w:p>
            <w:pPr>
              <w:spacing w:line="340" w:lineRule="exact"/>
              <w:jc w:val="center"/>
              <w:rPr>
                <w:rFonts w:ascii="黑体" w:hAnsi="黑体" w:eastAsia="黑体" w:cs="黑体"/>
                <w:sz w:val="28"/>
                <w:szCs w:val="28"/>
              </w:rPr>
            </w:pPr>
            <w:r>
              <w:rPr>
                <w:rFonts w:hint="eastAsia" w:ascii="黑体" w:hAnsi="黑体" w:eastAsia="黑体" w:cs="黑体"/>
                <w:w w:val="95"/>
                <w:kern w:val="0"/>
                <w:sz w:val="28"/>
                <w:szCs w:val="28"/>
                <w:fitText w:val="560" w:id="0"/>
              </w:rPr>
              <w:t>序</w:t>
            </w:r>
            <w:r>
              <w:rPr>
                <w:rFonts w:hint="eastAsia" w:ascii="黑体" w:hAnsi="黑体" w:eastAsia="黑体" w:cs="黑体"/>
                <w:spacing w:val="12"/>
                <w:w w:val="95"/>
                <w:kern w:val="0"/>
                <w:sz w:val="28"/>
                <w:szCs w:val="28"/>
                <w:fitText w:val="560" w:id="0"/>
              </w:rPr>
              <w:t>号</w:t>
            </w:r>
          </w:p>
        </w:tc>
        <w:tc>
          <w:tcPr>
            <w:tcW w:w="2020" w:type="dxa"/>
            <w:vAlign w:val="center"/>
          </w:tcPr>
          <w:p>
            <w:pPr>
              <w:spacing w:line="340" w:lineRule="exact"/>
              <w:jc w:val="center"/>
              <w:rPr>
                <w:rFonts w:ascii="黑体" w:hAnsi="黑体" w:eastAsia="黑体" w:cs="黑体"/>
                <w:sz w:val="28"/>
                <w:szCs w:val="28"/>
              </w:rPr>
            </w:pPr>
            <w:r>
              <w:rPr>
                <w:rFonts w:hint="eastAsia" w:ascii="黑体" w:hAnsi="黑体" w:eastAsia="黑体" w:cs="黑体"/>
                <w:w w:val="97"/>
                <w:kern w:val="0"/>
                <w:sz w:val="28"/>
                <w:szCs w:val="28"/>
                <w:fitText w:val="1680" w:id="1"/>
              </w:rPr>
              <w:t>行政处罚名</w:t>
            </w:r>
            <w:r>
              <w:rPr>
                <w:rFonts w:hint="eastAsia" w:ascii="黑体" w:hAnsi="黑体" w:eastAsia="黑体" w:cs="黑体"/>
                <w:spacing w:val="48"/>
                <w:w w:val="97"/>
                <w:kern w:val="0"/>
                <w:sz w:val="28"/>
                <w:szCs w:val="28"/>
                <w:fitText w:val="1680" w:id="1"/>
              </w:rPr>
              <w:t>称</w:t>
            </w:r>
          </w:p>
        </w:tc>
        <w:tc>
          <w:tcPr>
            <w:tcW w:w="2127" w:type="dxa"/>
            <w:vAlign w:val="center"/>
          </w:tcPr>
          <w:p>
            <w:pPr>
              <w:spacing w:line="340" w:lineRule="exact"/>
              <w:jc w:val="center"/>
              <w:rPr>
                <w:rFonts w:ascii="黑体" w:hAnsi="黑体" w:eastAsia="黑体" w:cs="黑体"/>
                <w:sz w:val="28"/>
                <w:szCs w:val="28"/>
              </w:rPr>
            </w:pPr>
            <w:r>
              <w:rPr>
                <w:rFonts w:hint="eastAsia" w:ascii="黑体" w:hAnsi="黑体" w:eastAsia="黑体" w:cs="黑体"/>
                <w:w w:val="96"/>
                <w:kern w:val="0"/>
                <w:sz w:val="28"/>
                <w:szCs w:val="28"/>
                <w:fitText w:val="1120" w:id="2"/>
              </w:rPr>
              <w:t>实施机</w:t>
            </w:r>
            <w:r>
              <w:rPr>
                <w:rFonts w:hint="eastAsia" w:ascii="黑体" w:hAnsi="黑体" w:eastAsia="黑体" w:cs="黑体"/>
                <w:spacing w:val="30"/>
                <w:w w:val="96"/>
                <w:kern w:val="0"/>
                <w:sz w:val="28"/>
                <w:szCs w:val="28"/>
                <w:fitText w:val="1120" w:id="2"/>
              </w:rPr>
              <w:t>关</w:t>
            </w:r>
          </w:p>
        </w:tc>
        <w:tc>
          <w:tcPr>
            <w:tcW w:w="7371" w:type="dxa"/>
            <w:vAlign w:val="center"/>
          </w:tcPr>
          <w:p>
            <w:pPr>
              <w:spacing w:line="340" w:lineRule="exact"/>
              <w:jc w:val="center"/>
              <w:rPr>
                <w:rFonts w:ascii="黑体" w:hAnsi="黑体" w:eastAsia="黑体" w:cs="黑体"/>
                <w:sz w:val="28"/>
                <w:szCs w:val="28"/>
              </w:rPr>
            </w:pPr>
            <w:r>
              <w:rPr>
                <w:rFonts w:hint="eastAsia" w:ascii="黑体" w:hAnsi="黑体" w:eastAsia="黑体" w:cs="黑体"/>
                <w:w w:val="96"/>
                <w:kern w:val="0"/>
                <w:sz w:val="28"/>
                <w:szCs w:val="28"/>
                <w:fitText w:val="1120" w:id="3"/>
              </w:rPr>
              <w:t>法律依</w:t>
            </w:r>
            <w:r>
              <w:rPr>
                <w:rFonts w:hint="eastAsia" w:ascii="黑体" w:hAnsi="黑体" w:eastAsia="黑体" w:cs="黑体"/>
                <w:spacing w:val="30"/>
                <w:w w:val="96"/>
                <w:kern w:val="0"/>
                <w:sz w:val="28"/>
                <w:szCs w:val="28"/>
                <w:fitText w:val="1120" w:id="3"/>
              </w:rPr>
              <w:t>据</w:t>
            </w:r>
          </w:p>
        </w:tc>
        <w:tc>
          <w:tcPr>
            <w:tcW w:w="2771" w:type="dxa"/>
            <w:vAlign w:val="center"/>
          </w:tcPr>
          <w:p>
            <w:pPr>
              <w:spacing w:line="340" w:lineRule="exact"/>
              <w:jc w:val="center"/>
              <w:rPr>
                <w:rFonts w:ascii="黑体" w:hAnsi="黑体" w:eastAsia="黑体" w:cs="黑体"/>
                <w:kern w:val="0"/>
                <w:sz w:val="28"/>
                <w:szCs w:val="28"/>
              </w:rPr>
            </w:pPr>
            <w:r>
              <w:rPr>
                <w:rFonts w:hint="eastAsia" w:ascii="黑体" w:hAnsi="黑体" w:eastAsia="黑体" w:cs="黑体"/>
                <w:kern w:val="0"/>
                <w:sz w:val="28"/>
                <w:szCs w:val="28"/>
              </w:rPr>
              <w:t>纳入法制审核的重大执法决定情形（满足任意一项即可）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spacing w:val="24"/>
                <w:kern w:val="0"/>
                <w:sz w:val="18"/>
                <w:szCs w:val="18"/>
                <w:fitText w:val="120" w:id="4"/>
              </w:rPr>
              <w:t>1</w:t>
            </w:r>
          </w:p>
        </w:tc>
        <w:tc>
          <w:tcPr>
            <w:tcW w:w="2020"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对阻碍、拒绝节能监察的行政处罚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十二条县级以上人民政府管理节能工作的部门和有关部门应当在各自的职责范围内，加强对节能法律、法规和节能标准执行情况的监督检查，依法查处违法用能行为。《广西壮族自治区实施&lt;中华人民共和国节约能源法&gt;办法》（2013年5月30日自治区十二届人大公告第7号公布自2013年9月1日起施行）第三十四条用能单位阻碍或者拒绝接受节能监督检查的，由县级以上人民政府有关节能监督管理部门按照职权予以警告，责令限期改正；逾期不改正的，可以处五千元以上五万元以下罚款。</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对重点用能单位无正当理由拒不落实整改要求或者整改没有达到要求的处罚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第八十三条重点用能单位无正当理由拒不落实本法第五十四条规定的整改要求或者整改没有达到要求的，由管理节能工作的部门处十万元以上三十万元以下罚款。</w:t>
            </w:r>
          </w:p>
        </w:tc>
        <w:tc>
          <w:tcPr>
            <w:tcW w:w="2771" w:type="dxa"/>
            <w:vMerge w:val="continue"/>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p>
          <w:p>
            <w:pPr>
              <w:spacing w:line="200" w:lineRule="exact"/>
              <w:jc w:val="center"/>
              <w:rPr>
                <w:rFonts w:ascii="Times New Roman" w:hAnsi="Times New Roman" w:eastAsia="方正仿宋_GBK" w:cs="Times New Roman"/>
                <w:kern w:val="0"/>
                <w:sz w:val="18"/>
                <w:szCs w:val="18"/>
              </w:rPr>
            </w:pPr>
          </w:p>
          <w:p>
            <w:pPr>
              <w:spacing w:line="200" w:lineRule="exact"/>
              <w:jc w:val="center"/>
              <w:rPr>
                <w:rFonts w:ascii="Times New Roman" w:hAnsi="Times New Roman" w:eastAsia="方正仿宋_GBK" w:cs="Times New Roman"/>
                <w:kern w:val="0"/>
                <w:sz w:val="18"/>
                <w:szCs w:val="18"/>
              </w:rPr>
            </w:pP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对使用国家明令淘汰的用能设备或者生产工艺的处罚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1.《中华人民共和国节约能源法》（主席令第九十号，1997年11月1日发布，1998年1月1日施行， 2016年7月2日主席令第四十八号修改，自2008年4月1日施行）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widowControl/>
              <w:spacing w:line="18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2.《中华人民共和国循环经济促进法》（2008国家主席令第4号，2008年8月29日发布，自2009年1月1日起施行）第五十条生产、销售列入淘汰名录的产品、设备的，依照《中华人民共和国产品质量法》的规定处罚。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2771" w:type="dxa"/>
            <w:vMerge w:val="continue"/>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对生产单位超过单位产品能耗限额标准用能的处罚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5</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对重点用能单位未按照规定设立能源管理岗位的处罚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6</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对无偿向本单位职工提供能源或者能源消费实行包费制的处罚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2016年7月2日主席令第四十八号修改，自2008年4月1日施行）第七十七条 违反本法规定，无偿向本单位职工提供能源或者对能源消费实行包费制的，由管理节能工作的部门责令限期改正；逾期不改正的，处五万元以上二十万元以下罚款。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7</w:t>
            </w:r>
          </w:p>
          <w:p>
            <w:pPr>
              <w:spacing w:line="200" w:lineRule="exact"/>
              <w:jc w:val="center"/>
              <w:rPr>
                <w:rFonts w:ascii="Times New Roman" w:hAnsi="Times New Roman" w:eastAsia="方正仿宋_GBK" w:cs="Times New Roman"/>
                <w:kern w:val="0"/>
                <w:sz w:val="18"/>
                <w:szCs w:val="18"/>
              </w:rPr>
            </w:pP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对未按照规定报送能源利用状况报告或者报告内容不实的处罚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2016年7月2日主席令第四十八号修改，自2008年4月1日施行）第八十二条 重点用能单位未按照本法规定报送能源利用状况报告或者报告内容不实的，由管理节能工作的部门责令限期改正；逾期不改正的，处一万元以上五万元以下罚款。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8</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对固定资产投资项目建设单位开工建设不符合强制性节能标准的项目或者将该项目投入生产、使用的处罚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第六十八条第二款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2771" w:type="dxa"/>
            <w:vMerge w:val="continue"/>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9</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对节能服务机构提供虚假信息的处罚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《中华人民共和国节约能源法》（主席令第九十号，1997年11月1日发布，1998年1月1日施行， 2016年7月2日主席令第四十八号修改，自2008年4月1日施行）第七十六条 从事节能咨询、设计、评估、检测、审计、认证等服务的机构提供虚假信息的，由管理节能工作的部门责令改正，没收违法所得，并处五万元以上十万元以下罚款。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10</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对使用国家明令淘汰的电力设备和技术进行电力建设项目的处罚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《中华人民共和国电力法》（1995年12月28日主席令第90号公布，自1996年4月1日起施行，2018年12月29日第十三届全国人民代表大会常务委员会第七次会议修正）第十四条  电力建设项目应当符合电力发展规划，符合国家电力产业政策。电力建设项目不得使用国家明令淘汰的电力设备和技术。</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第六十二条第二款  违反本法第十四条规定，电力建设项目使用国家明令淘汰的电力设备和技术的，由电力管理部门责令停止使用，没收国家明令淘汰的电力设备，并处五万元以下的罚款。</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11</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对未经许可从事供电或者变更供电营业区行为的处罚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1.《中华人民共和国电力法》（1995年12月28日主席令第90号公布，自1996年4月1日起施行，2018年12月29日第十三届全国人民代表大会常务委员会第七次会议修正）第二十五条  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  第六十三条  违反本法第二十五条规定，未经许可，从事供电或者变更供电营业区的，由电力管理部门责令改正，没收违法所得，可以并处违法所得五倍以下的罚款。</w:t>
            </w:r>
          </w:p>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2.《电力供应与使用条例》（1996年4月17日国务院令第196号发布，自1996年9月1日起施行，2016年2月6日国务院令第666号修改）第三十八条 违反本条例规定，有下列行为之一的，由电力管理部门责令改正，没收违法所得，可以并处违法所得5倍以下的罚款：（一）未按照规定取得《供电营业许可证》，从事电力供应业务的；（二）擅自伸入或者跨越供电营业区供电的；（三）擅自向外转供电的。</w:t>
            </w:r>
          </w:p>
        </w:tc>
        <w:tc>
          <w:tcPr>
            <w:tcW w:w="2771" w:type="dxa"/>
            <w:vMerge w:val="continue"/>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12</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对违法拒绝供电或中断供电的处罚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1.《中华人民共和国电力法》（1995年12月28日主席令第90号公布，自1996年4月1日起施行，2018年12月29日第十三届全国人民代表大会常务委员会第七次会议修正）第二十六条 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第二十九条 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第六十四条 违反本法第二十六条、第二十九条规定，拒绝供电或者中断供电的，由电力管理部门责令改正，给予警告；情节严重的，对有关主管人员和直接责任人员给予行政处分。</w:t>
            </w:r>
          </w:p>
          <w:p>
            <w:pPr>
              <w:widowControl/>
              <w:spacing w:line="18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2.《供用电监督管理办法》（1996年5月19日电力工业部令第4号发布，自1996年9月起施行，2011年6月30日国家发展和改革委员会令第10号修改）第二十六条 供电企业未按《电力法》和国家有关规定中规定的时间通知用户或进行公告，而对用户中断供电的，电力管理部门责令其改正，给予警告；情节严重的，对有关主管人员和直接责任人员给予行政处分。</w:t>
            </w:r>
          </w:p>
        </w:tc>
        <w:tc>
          <w:tcPr>
            <w:tcW w:w="2771" w:type="dxa"/>
            <w:vMerge w:val="continue"/>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13</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对危害供电、用电安全或者扰乱供电、用电秩序的处罚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《中华人民共和国电力法》（1995年12月28日主席令第90号公布，自1996年4月1日起施行，2018年12月29日第十三届全国人民代表大会常务委员会第七次会议修正）第三十二条  用户用电不得危害供电、用电安全和扰乱供电、用电秩序。对危害供电、用电安全和扰乱供电、用电秩序的，供电企业有权制止。第六十五条  违反本法第三十二条规定，危害供电、用电安全或者扰乱供电、用电秩序的，由电力管理部门责令改正，给予警告；情节严重或者拒绝改正的，可以中止供电，可以并处五万元以下的罚款。</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14</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对危害发电设施、变电设施和电力线路设施的处罚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《电力设施保护条例》（1987年9月15日国务院发布，自1987年9月15日起施行，2011年1月8日国务院令第588号修改）第二十七条  违反本条例规定，危害发电设施、变电设施和电力线路设施的，由电力管理部门责令改正；拒不改正的，处1万元以下的罚款。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15</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对盗窃电能的处罚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《中华人民共和国电力法》（1995年12月28日主席令第90号公布，自1996年4月1日起施行，2018年12月29日第十三届全国人民代表大会常务委员会第七次会议修正）第七十一条  盗窃电能的，由电力管理部门责令停止违法行为，追缴电费并处应交电费五倍以下的罚款；构成犯罪的，依照刑法有关规定追究刑事责任。</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16</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对用户改变用电类别未告知供电企业的处罚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《广西壮族自治区供电用电办法》（2008年9月25日广西壮族自治区人民政府令第42号公布 ， 自2009年1月1日起施行，2016年9月26日广西壮族自治区人民政府令第112号修改）第二十三条  违反本办法规定，用户改变用电类别未告知供电企业的，由县级以上人民政府电力管理部门责令改正，给予警告，并处5000元以上3万元以下罚款。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17</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对用户用电违法违规行为的处罚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《广西壮族自治区供电用电办法》（2008年9月25日广西壮族自治区人民政府令第42号公布 ， 自2009年1月1日起施行，2016年9月26日广西壮族自治区人民政府令第112号修改）第十九条 用户应当遵守下列规定：</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（一）签订供用电合同；</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（二）按照合同规定的用电类别用电；</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（三）按时交纳电费；</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（四）使用合格的配用电设施并保证其运行安全；</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（五）使用经法定的计量检定机构认可的用电计量装置；</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（六）注入电网的谐波电流以及冲击负荷、非对称负荷等对电能质量的污染不得超过国家标准；</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（七）不得擅自拆封、更改、调整供电企业安装的用电计量装置；</w:t>
            </w:r>
          </w:p>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p>
          <w:p>
            <w:pPr>
              <w:widowControl/>
              <w:spacing w:line="18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第二十六条  违反本办法第十九条第一款（三）、（四）、（五）、（六）项规定的，由县级以上人民政府电力管理部门责令改正，对居民用户可处1000元以下罚款；对单位用户可处3000元以上3万元以下的罚款。</w:t>
            </w:r>
          </w:p>
        </w:tc>
        <w:tc>
          <w:tcPr>
            <w:tcW w:w="2771" w:type="dxa"/>
            <w:vMerge w:val="continue"/>
          </w:tcPr>
          <w:p>
            <w:pPr>
              <w:widowControl/>
              <w:adjustRightInd w:val="0"/>
              <w:snapToGrid w:val="0"/>
              <w:spacing w:line="18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18</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对煤炭经营企业未按规定备案、未按规定提交年度报告或未配合接受监督检查的处罚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煤炭经营监管办法》（2014年7月30日国家发展和改革委员会令第13号公布，自2014年9月1日起施行）第二十六条煤炭经营企业未按规定备案或备案内容不真实；未按规定提交年度报告或报告内容不真实；未配合煤炭经营监督管理部门接受监督检查的，由县级以上地方人民政府煤炭经营监督管理部门责令限期改正，逾期不改的，列入违法失信名单并向社会公示。</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p>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19</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对储煤场地不符合要求或在煤炭销售各环节造成环境污染行为的处罚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《煤炭经营监管办法》（2014年7月30日国家发展和改革委员会令第13号公布，自2014年9月1日起施行）第二十七条 用于煤炭经营的储煤场地不符合合理布部门要求，或在煤炭装卸、储存、加工和运输过程中未采取必要措施、造成周边环境污染的，由县级以上地方人民政府煤炭经营监督管理部门责令限期改正，逾期不改的，列入违法失信名单并向社会公示。</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p>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20</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对销售不符合标准煤炭的处罚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煤炭经营监管办法》（2014年7月30日国家发展和改革委员会令第13号公布，自2014年9月1日起施行）第二十八条销售或进口高灰分、高硫分劣质煤炭；向城市高污染燃料禁燃区等范围内单位或个人销售不符合规定标准煤炭的，由县级以上地方人民政府煤炭经营监督管理部门责令限期改正，逾期不改的，列入违法失信名单并向社会公示。</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21</w:t>
            </w:r>
          </w:p>
        </w:tc>
        <w:tc>
          <w:tcPr>
            <w:tcW w:w="2020" w:type="dxa"/>
            <w:vAlign w:val="center"/>
          </w:tcPr>
          <w:p>
            <w:pPr>
              <w:widowControl/>
              <w:adjustRightInd w:val="0"/>
              <w:snapToGrid w:val="0"/>
              <w:spacing w:line="200" w:lineRule="exact"/>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对煤炭经营中采取掺杂使假、以次充好等欺诈手段开展经营行为的处罚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《煤炭经营监管办法》（2014年7月30日国家发展和改革委员会令第13号公布，自2014年9月1日起施行）第二十九条 采取掺杂使假、以次充好等欺诈手段进行经营的，由县级以上地方人民政府煤炭经营监督管理部门责令停止经营，没收违法所得，并处违法所得一倍以上五倍以下的罚款，列入违法失信名单并向社会公示。</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22</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对禁止现场搅拌区域内建设工程使用袋装水泥、现场搅拌混凝土或者砂浆的处罚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《广西壮族自治区促进散装水泥发展和应用条例》（2014年11月28日自治区人大常委会十二届第32号公布，自2015年1月1日起施行）</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第十三条 设区的市、县级人民政府散装水泥主管部门应当会同有关部门，按照国家和自治区有关规定，结合本地具体情况，划定禁止现场搅拌混凝土或者砂浆的具体区域和起始时间，报本级人民政府批准并向社会公布实施。</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禁止现场搅拌区域内的建设工程，禁止使用袋装水泥、现场搅拌混凝土或者砂浆。</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第二十八条 违反本条例第十三条第二款规定，使用袋装水泥、现场搅拌混凝土或者砂浆的，由县级以上人民政府散装水泥主管部门责令限期改正，并按照以下规定予以处罚：（一）使用袋装水泥的，按照每吨处二百元以上三百元以下罚款；（二）现场搅拌混凝土的，按照每立方米处五十元以上一百元以下罚款；（三）现场搅拌砂浆的，按照每吨处五十元以上一百元以下罚款。</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因违法行为人虚报、伪造或者拒不提供相关数据资料，致使袋装水泥、现场搅拌混凝土或者砂浆使用量无法计算的，按照建筑施工面积或者砌砖、抹灰作业面积处每平方米二十元以上三十元以下罚款。</w:t>
            </w:r>
          </w:p>
        </w:tc>
        <w:tc>
          <w:tcPr>
            <w:tcW w:w="2771" w:type="dxa"/>
            <w:vMerge w:val="continue"/>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23</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对禁止现场搅拌区域外建设工程使用散装水泥未达规定比例的处罚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《广西壮族自治区促进散装水泥发展和应用条例》（2014年11月28日自治区人大常委会十二届第32号公布，自2015年1月1日起施行）第十四条 禁止现场搅拌混凝土或者砂浆区域外的建设工程，应当遵守下列规定：</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（一）国家和自治区重点建设工程、房地产开发建设工程、经济开发区（工业园区）内的建设工程，使用散装水泥（含预拌混凝土、预拌砂浆折算水泥量）应当至少达到其水泥使用总量的百分之九十；</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（二）水泥使用总量在三百吨以上或者房屋建设面积在一千五百平方米以上的其他建设工程，使用散装水泥（含预拌混凝土、预拌砂浆折算水泥量）应当至少达到其水泥使用总量的百分之八十；</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水泥使用总量在一百五十吨以上三百吨以下或者房屋建设面积在五百平方米以上一千五百平方米以下的其他建设工程，使用散装水泥（含预拌混凝土、预拌砂浆折算水泥量）应当至少达到其水泥使用总量的百分之六十。</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第二十九条 违反本条例第十四条规定，使用散装水泥（含预拌混凝土或者预拌砂浆折算水泥量）未达到规定的最低比例标准的，由县级以上人民政府散装水泥主管部门按照其低于规定比例的数量处每吨二百元以上三百元以下的罚款。因违法行为人虚报、伪造或者拒不提供相关数据资料，使散装水泥使用量（含预拌混凝土或者预拌砂浆折算水泥量）无法计算的，按照建设工程建筑施工面积处每平方米二十元以上三十元以下罚款。</w:t>
            </w:r>
          </w:p>
        </w:tc>
        <w:tc>
          <w:tcPr>
            <w:tcW w:w="2771" w:type="dxa"/>
            <w:vMerge w:val="restart"/>
            <w:vAlign w:val="center"/>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（一）作出罚款一万元以上行政处罚决定的；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（二）作出停业整顿或者关闭决定的；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（三）依法经听证程序作出决定的；</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（四）案件情况复杂、疑难或者可能会产生较大社会影响的其他重大行政执法决定。</w:t>
            </w:r>
          </w:p>
          <w:p>
            <w:pPr>
              <w:widowControl/>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rPr>
              <w:t>五</w:t>
            </w:r>
            <w:r>
              <w:rPr>
                <w:rFonts w:ascii="Times New Roman" w:hAnsi="Times New Roman" w:eastAsia="方正仿宋_GBK" w:cs="Times New Roman"/>
                <w:color w:val="000000"/>
                <w:kern w:val="0"/>
                <w:sz w:val="18"/>
                <w:szCs w:val="18"/>
              </w:rPr>
              <w:t>）法律、法规和规章规定的其他重大行政处罚事项。</w:t>
            </w:r>
          </w:p>
          <w:p>
            <w:pPr>
              <w:widowControl/>
              <w:adjustRightInd w:val="0"/>
              <w:snapToGrid w:val="0"/>
              <w:spacing w:line="200" w:lineRule="exact"/>
              <w:ind w:firstLine="360" w:firstLineChars="200"/>
              <w:jc w:val="center"/>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24</w:t>
            </w: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对预拌混凝土生产企业、预拌砂浆生产企业、水泥制品（构件）生产企业生产不使用或者不全部使用散装水泥的处罚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《广西壮族自治区促进散装水泥发展和应用条例》（2014年11月28日自治区人大常委会十二届第32号公布，自2015年1月1日起施行）</w:t>
            </w:r>
          </w:p>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第十五条 预拌混凝土生产企业、预拌砂浆生产企业、水泥制品（构件）生产企业，应当全部使用散装水泥。</w:t>
            </w:r>
          </w:p>
          <w:p>
            <w:pPr>
              <w:widowControl/>
              <w:spacing w:line="20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第三十条 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tc>
        <w:tc>
          <w:tcPr>
            <w:tcW w:w="2771" w:type="dxa"/>
            <w:vMerge w:val="continue"/>
          </w:tcPr>
          <w:p>
            <w:pPr>
              <w:widowControl/>
              <w:adjustRightInd w:val="0"/>
              <w:snapToGrid w:val="0"/>
              <w:spacing w:line="200" w:lineRule="exact"/>
              <w:ind w:firstLine="360" w:firstLineChars="200"/>
              <w:jc w:val="left"/>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25</w:t>
            </w:r>
          </w:p>
          <w:p>
            <w:pPr>
              <w:spacing w:line="200" w:lineRule="exact"/>
              <w:jc w:val="center"/>
              <w:rPr>
                <w:rFonts w:ascii="Times New Roman" w:hAnsi="Times New Roman" w:eastAsia="方正仿宋_GBK" w:cs="Times New Roman"/>
                <w:kern w:val="0"/>
                <w:sz w:val="18"/>
                <w:szCs w:val="18"/>
              </w:rPr>
            </w:pPr>
          </w:p>
        </w:tc>
        <w:tc>
          <w:tcPr>
            <w:tcW w:w="2020" w:type="dxa"/>
            <w:vAlign w:val="center"/>
          </w:tcPr>
          <w:p>
            <w:pPr>
              <w:widowControl/>
              <w:spacing w:line="20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对不按照规定报送生产、销售、采购散装水泥、预拌混凝土、预拌砂浆票据和相关资料的生产企业、建设工程的处罚</w:t>
            </w:r>
          </w:p>
        </w:tc>
        <w:tc>
          <w:tcPr>
            <w:tcW w:w="2127" w:type="dxa"/>
            <w:vAlign w:val="center"/>
          </w:tcPr>
          <w:p>
            <w:pPr>
              <w:widowControl/>
              <w:spacing w:line="200" w:lineRule="exact"/>
              <w:jc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钦州市工业和信息化局</w:t>
            </w:r>
          </w:p>
        </w:tc>
        <w:tc>
          <w:tcPr>
            <w:tcW w:w="7371" w:type="dxa"/>
            <w:vAlign w:val="center"/>
          </w:tcPr>
          <w:p>
            <w:pPr>
              <w:widowControl/>
              <w:spacing w:line="200" w:lineRule="exact"/>
              <w:ind w:firstLine="360" w:firstLineChars="200"/>
              <w:jc w:val="left"/>
              <w:rPr>
                <w:rFonts w:ascii="Times New Roman" w:hAnsi="Times New Roman" w:eastAsia="方正仿宋_GBK" w:cs="Times New Roman"/>
                <w:kern w:val="0"/>
                <w:sz w:val="18"/>
                <w:szCs w:val="18"/>
              </w:rPr>
            </w:pPr>
            <w:r>
              <w:rPr>
                <w:rFonts w:ascii="Times New Roman" w:hAnsi="Times New Roman" w:eastAsia="方正仿宋_GBK" w:cs="Times New Roman"/>
                <w:color w:val="000000"/>
                <w:kern w:val="0"/>
                <w:sz w:val="18"/>
                <w:szCs w:val="18"/>
              </w:rPr>
              <w:t>《广西壮族自治区促进散装水泥发展和应用条例》（2014年11月28日自治区人大常委会十二届第32号公布，自2015年1月1日起施行）第二十六条 水泥生产企业、预拌混凝土和预拌砂浆生产企业、水泥制品（构件）生产企业，以及依照本条例规定应当使用散装水泥、预拌混凝土和预拌砂浆的建设工作，应当按照国家和自治区的有关规定，向当地的散装水泥管理机构保送生产、销售、采购散装水泥、预拌混凝土、预拌砂浆的票据和相关资料。第三十一条 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tc>
        <w:tc>
          <w:tcPr>
            <w:tcW w:w="2771" w:type="dxa"/>
            <w:vMerge w:val="continue"/>
          </w:tcPr>
          <w:p>
            <w:pPr>
              <w:widowControl/>
              <w:spacing w:line="200" w:lineRule="exact"/>
              <w:ind w:firstLine="360" w:firstLineChars="200"/>
              <w:jc w:val="left"/>
              <w:rPr>
                <w:rFonts w:ascii="Times New Roman" w:hAnsi="Times New Roman" w:eastAsia="方正仿宋_GBK" w:cs="Times New Roman"/>
                <w:color w:val="000000"/>
                <w:kern w:val="0"/>
                <w:sz w:val="18"/>
                <w:szCs w:val="18"/>
              </w:rPr>
            </w:pPr>
          </w:p>
        </w:tc>
      </w:tr>
    </w:tbl>
    <w:p/>
    <w:sectPr>
      <w:footerReference r:id="rId3" w:type="default"/>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1"/>
    <w:rsid w:val="000A716B"/>
    <w:rsid w:val="000B4675"/>
    <w:rsid w:val="00130671"/>
    <w:rsid w:val="00146A88"/>
    <w:rsid w:val="0015360C"/>
    <w:rsid w:val="00166D24"/>
    <w:rsid w:val="00173967"/>
    <w:rsid w:val="001B6FFF"/>
    <w:rsid w:val="00224ACD"/>
    <w:rsid w:val="003306E5"/>
    <w:rsid w:val="0038170A"/>
    <w:rsid w:val="0038171F"/>
    <w:rsid w:val="003A039C"/>
    <w:rsid w:val="003B78FC"/>
    <w:rsid w:val="0042374D"/>
    <w:rsid w:val="00426539"/>
    <w:rsid w:val="0043652E"/>
    <w:rsid w:val="00491F83"/>
    <w:rsid w:val="004B46A1"/>
    <w:rsid w:val="0056714B"/>
    <w:rsid w:val="005E7551"/>
    <w:rsid w:val="006278F2"/>
    <w:rsid w:val="0063075E"/>
    <w:rsid w:val="00644D83"/>
    <w:rsid w:val="00662566"/>
    <w:rsid w:val="00683571"/>
    <w:rsid w:val="00695F29"/>
    <w:rsid w:val="006A0D4D"/>
    <w:rsid w:val="006C6157"/>
    <w:rsid w:val="006D1E4A"/>
    <w:rsid w:val="006F20B1"/>
    <w:rsid w:val="00701951"/>
    <w:rsid w:val="00745A75"/>
    <w:rsid w:val="00773AD8"/>
    <w:rsid w:val="007D4A34"/>
    <w:rsid w:val="008511B6"/>
    <w:rsid w:val="00857DCF"/>
    <w:rsid w:val="008633FD"/>
    <w:rsid w:val="0091188C"/>
    <w:rsid w:val="00922135"/>
    <w:rsid w:val="00927B92"/>
    <w:rsid w:val="009C50A4"/>
    <w:rsid w:val="009E3E7E"/>
    <w:rsid w:val="00A06EAC"/>
    <w:rsid w:val="00A11CE9"/>
    <w:rsid w:val="00A607B2"/>
    <w:rsid w:val="00A83B31"/>
    <w:rsid w:val="00AE1646"/>
    <w:rsid w:val="00B23B44"/>
    <w:rsid w:val="00B715A6"/>
    <w:rsid w:val="00B71723"/>
    <w:rsid w:val="00B75B63"/>
    <w:rsid w:val="00B95B1C"/>
    <w:rsid w:val="00C062E2"/>
    <w:rsid w:val="00C06443"/>
    <w:rsid w:val="00C422DF"/>
    <w:rsid w:val="00C449C6"/>
    <w:rsid w:val="00CC2EF2"/>
    <w:rsid w:val="00CD3A28"/>
    <w:rsid w:val="00CD414A"/>
    <w:rsid w:val="00CF7712"/>
    <w:rsid w:val="00D075A8"/>
    <w:rsid w:val="00DD6526"/>
    <w:rsid w:val="00DF2839"/>
    <w:rsid w:val="00E22B84"/>
    <w:rsid w:val="00E30870"/>
    <w:rsid w:val="00E53210"/>
    <w:rsid w:val="00E901E1"/>
    <w:rsid w:val="00EE61A2"/>
    <w:rsid w:val="00F1056B"/>
    <w:rsid w:val="00F166E2"/>
    <w:rsid w:val="00F57C72"/>
    <w:rsid w:val="00F822D5"/>
    <w:rsid w:val="00FC2153"/>
    <w:rsid w:val="00FC72F9"/>
    <w:rsid w:val="00FE78F2"/>
    <w:rsid w:val="00FF17A2"/>
    <w:rsid w:val="05AC07F1"/>
    <w:rsid w:val="0BB35C3C"/>
    <w:rsid w:val="12FB3491"/>
    <w:rsid w:val="184C1312"/>
    <w:rsid w:val="1B013E07"/>
    <w:rsid w:val="1CE95ABC"/>
    <w:rsid w:val="1F2C278C"/>
    <w:rsid w:val="1FD74B65"/>
    <w:rsid w:val="23D125D5"/>
    <w:rsid w:val="277F574E"/>
    <w:rsid w:val="28CE7063"/>
    <w:rsid w:val="2D083A5B"/>
    <w:rsid w:val="2E0270AC"/>
    <w:rsid w:val="367679AF"/>
    <w:rsid w:val="3B2404D2"/>
    <w:rsid w:val="40276352"/>
    <w:rsid w:val="473E757C"/>
    <w:rsid w:val="49CC7DFC"/>
    <w:rsid w:val="5AD822D6"/>
    <w:rsid w:val="5CCF6E91"/>
    <w:rsid w:val="5E3D18B5"/>
    <w:rsid w:val="62C97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2"/>
    <w:unhideWhenUsed/>
    <w:qFormat/>
    <w:uiPriority w:val="0"/>
    <w:pPr>
      <w:keepNext/>
      <w:keepLines/>
      <w:spacing w:before="280" w:after="290" w:line="374" w:lineRule="auto"/>
      <w:outlineLvl w:val="3"/>
    </w:pPr>
    <w:rPr>
      <w:rFonts w:ascii="Cambria" w:hAnsi="Cambria" w:eastAsia="宋体" w:cs="Times New Roman"/>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rPr>
      <w:rFonts w:ascii="Times New Roman" w:hAnsi="Times New Roman" w:eastAsia="宋体" w:cs="Times New Roman"/>
      <w:sz w:val="18"/>
      <w:szCs w:val="18"/>
    </w:rPr>
  </w:style>
  <w:style w:type="paragraph" w:styleId="4">
    <w:name w:val="footer"/>
    <w:basedOn w:val="1"/>
    <w:link w:val="13"/>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rFonts w:ascii="Times New Roman" w:hAnsi="Times New Roman" w:eastAsia="Times New Roman" w:cs="Times New Roman"/>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rPr>
      <w:rFonts w:ascii="Times New Roman" w:hAnsi="Times New Roman" w:eastAsia="宋体" w:cs="Times New Roman"/>
    </w:rPr>
  </w:style>
  <w:style w:type="character" w:styleId="10">
    <w:name w:val="FollowedHyperlink"/>
    <w:basedOn w:val="8"/>
    <w:uiPriority w:val="0"/>
    <w:rPr>
      <w:color w:val="954F72" w:themeColor="followedHyperlink"/>
      <w:u w:val="single"/>
    </w:rPr>
  </w:style>
  <w:style w:type="character" w:styleId="11">
    <w:name w:val="Hyperlink"/>
    <w:basedOn w:val="8"/>
    <w:qFormat/>
    <w:uiPriority w:val="0"/>
    <w:rPr>
      <w:color w:val="0000FF"/>
      <w:u w:val="none"/>
    </w:rPr>
  </w:style>
  <w:style w:type="character" w:customStyle="1" w:styleId="12">
    <w:name w:val="标题 4 Char"/>
    <w:link w:val="2"/>
    <w:qFormat/>
    <w:uiPriority w:val="0"/>
    <w:rPr>
      <w:rFonts w:ascii="Cambria" w:hAnsi="Cambria" w:eastAsia="宋体" w:cs="Times New Roman"/>
      <w:b/>
      <w:bCs/>
      <w:kern w:val="2"/>
      <w:sz w:val="28"/>
      <w:szCs w:val="28"/>
      <w:lang w:val="en-US" w:eastAsia="zh-CN" w:bidi="ar-SA"/>
    </w:rPr>
  </w:style>
  <w:style w:type="character" w:customStyle="1" w:styleId="13">
    <w:name w:val="页脚 Char"/>
    <w:link w:val="4"/>
    <w:qFormat/>
    <w:uiPriority w:val="0"/>
    <w:rPr>
      <w:rFonts w:ascii="Times New Roman" w:hAnsi="Times New Roman" w:eastAsia="宋体" w:cs="Times New Roman"/>
      <w:kern w:val="2"/>
      <w:sz w:val="18"/>
      <w:szCs w:val="18"/>
      <w:lang w:bidi="ar-SA"/>
    </w:rPr>
  </w:style>
  <w:style w:type="character" w:customStyle="1" w:styleId="14">
    <w:name w:val="页眉 Char"/>
    <w:link w:val="5"/>
    <w:qFormat/>
    <w:uiPriority w:val="0"/>
    <w:rPr>
      <w:rFonts w:ascii="Times New Roman" w:hAnsi="Times New Roman" w:eastAsia="宋体" w:cs="Times New Roman"/>
      <w:kern w:val="2"/>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08D4-0D4C-43E1-974F-17C486F776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8281</Words>
  <Characters>648</Characters>
  <Lines>5</Lines>
  <Paragraphs>17</Paragraphs>
  <TotalTime>17</TotalTime>
  <ScaleCrop>false</ScaleCrop>
  <LinksUpToDate>false</LinksUpToDate>
  <CharactersWithSpaces>8912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2019-10-08T01:24:00Z</dcterms:created>
  <dc:creator>Administrator</dc:creator>
  <cp:lastModifiedBy>Administrator</cp:lastModifiedBy>
  <cp:lastPrinted>2019-07-18T02:25:00Z</cp:lastPrinted>
  <dcterms:modified xsi:type="dcterms:W3CDTF">2019-11-18T03:24:27Z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