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default" w:ascii="Times New Roman" w:hAnsi="Times New Roman" w:eastAsia="方正黑体_GBK" w:cs="Times New Roman"/>
          <w:color w:val="000000" w:themeColor="text1"/>
          <w:sz w:val="32"/>
          <w:szCs w:val="32"/>
          <w:lang w:val="en-US" w:eastAsia="zh-CN"/>
          <w14:textFill>
            <w14:solidFill>
              <w14:schemeClr w14:val="tx1"/>
            </w14:solidFill>
          </w14:textFill>
        </w:rPr>
      </w:pPr>
      <w:r>
        <w:rPr>
          <w:rFonts w:hint="default" w:ascii="Times New Roman" w:hAnsi="Times New Roman" w:eastAsia="方正黑体_GBK" w:cs="Times New Roman"/>
          <w:color w:val="000000" w:themeColor="text1"/>
          <w:sz w:val="32"/>
          <w:szCs w:val="32"/>
          <w:lang w:eastAsia="zh-CN"/>
          <w14:textFill>
            <w14:solidFill>
              <w14:schemeClr w14:val="tx1"/>
            </w14:solidFill>
          </w14:textFill>
        </w:rPr>
        <w:t>附件</w:t>
      </w:r>
      <w:r>
        <w:rPr>
          <w:rFonts w:hint="default" w:ascii="Times New Roman" w:hAnsi="Times New Roman" w:eastAsia="方正黑体_GBK" w:cs="Times New Roman"/>
          <w:color w:val="000000" w:themeColor="text1"/>
          <w:sz w:val="32"/>
          <w:szCs w:val="32"/>
          <w:lang w:val="en-US" w:eastAsia="zh-CN"/>
          <w14:textFill>
            <w14:solidFill>
              <w14:schemeClr w14:val="tx1"/>
            </w14:solidFill>
          </w14:textFill>
        </w:rPr>
        <w:t>1</w:t>
      </w:r>
    </w:p>
    <w:sdt>
      <w:sdtPr>
        <w:rPr>
          <w:rFonts w:ascii="Times New Roman" w:hAnsi="Times New Roman"/>
          <w:color w:val="000000" w:themeColor="text1"/>
          <w:lang w:val="zh-CN"/>
          <w14:textFill>
            <w14:solidFill>
              <w14:schemeClr w14:val="tx1"/>
            </w14:solidFill>
          </w14:textFill>
        </w:rPr>
        <w:id w:val="973413329"/>
        <w:docPartObj>
          <w:docPartGallery w:val="Table of Contents"/>
          <w:docPartUnique/>
        </w:docPartObj>
      </w:sdtPr>
      <w:sdtEndPr>
        <w:rPr>
          <w:rFonts w:ascii="Times New Roman" w:hAnsi="Times New Roman"/>
          <w:color w:val="000000" w:themeColor="text1"/>
          <w:lang w:val="zh-CN"/>
          <w14:textFill>
            <w14:solidFill>
              <w14:schemeClr w14:val="tx1"/>
            </w14:solidFill>
          </w14:textFill>
        </w:rPr>
      </w:sdtEndPr>
      <w:sdtContent>
        <w:p>
          <w:pPr>
            <w:rPr>
              <w:rFonts w:ascii="Times New Roman" w:hAnsi="Times New Roman"/>
              <w:color w:val="000000" w:themeColor="text1"/>
              <w14:textFill>
                <w14:solidFill>
                  <w14:schemeClr w14:val="tx1"/>
                </w14:solidFill>
              </w14:textFill>
            </w:rPr>
          </w:pPr>
          <w:bookmarkStart w:id="0" w:name="_Toc22321"/>
        </w:p>
        <w:p>
          <w:pPr>
            <w:rPr>
              <w:rFonts w:ascii="Times New Roman" w:hAnsi="Times New Roman"/>
              <w:color w:val="000000" w:themeColor="text1"/>
              <w14:textFill>
                <w14:solidFill>
                  <w14:schemeClr w14:val="tx1"/>
                </w14:solidFill>
              </w14:textFill>
            </w:rPr>
          </w:pPr>
        </w:p>
      </w:sdtContent>
    </w:sdt>
    <w:p>
      <w:pPr>
        <w:widowControl/>
        <w:adjustRightInd w:val="0"/>
        <w:snapToGrid w:val="0"/>
        <w:spacing w:line="720" w:lineRule="exact"/>
        <w:jc w:val="center"/>
        <w:rPr>
          <w:rFonts w:ascii="Times New Roman" w:hAnsi="Times New Roman" w:eastAsia="方正小标宋简体"/>
          <w:color w:val="000000" w:themeColor="text1"/>
          <w:kern w:val="0"/>
          <w:sz w:val="44"/>
          <w:szCs w:val="44"/>
          <w:lang w:bidi="ar"/>
          <w14:textFill>
            <w14:solidFill>
              <w14:schemeClr w14:val="tx1"/>
            </w14:solidFill>
          </w14:textFill>
        </w:rPr>
      </w:pPr>
    </w:p>
    <w:p>
      <w:pPr>
        <w:widowControl/>
        <w:adjustRightInd w:val="0"/>
        <w:snapToGrid w:val="0"/>
        <w:spacing w:line="720" w:lineRule="exact"/>
        <w:jc w:val="center"/>
        <w:rPr>
          <w:rFonts w:ascii="Times New Roman" w:hAnsi="Times New Roman" w:eastAsia="方正小标宋简体"/>
          <w:color w:val="000000" w:themeColor="text1"/>
          <w:kern w:val="0"/>
          <w:sz w:val="44"/>
          <w:szCs w:val="44"/>
          <w:lang w:bidi="ar"/>
          <w14:textFill>
            <w14:solidFill>
              <w14:schemeClr w14:val="tx1"/>
            </w14:solidFill>
          </w14:textFill>
        </w:rPr>
      </w:pPr>
    </w:p>
    <w:p>
      <w:pPr>
        <w:widowControl/>
        <w:adjustRightInd w:val="0"/>
        <w:snapToGrid w:val="0"/>
        <w:spacing w:line="360" w:lineRule="auto"/>
        <w:jc w:val="center"/>
        <w:rPr>
          <w:rFonts w:ascii="方正小标宋_GBK" w:hAnsi="方正小标宋_GBK" w:eastAsia="方正小标宋_GBK" w:cs="方正小标宋_GBK"/>
          <w:b/>
          <w:bCs/>
          <w:color w:val="000000" w:themeColor="text1"/>
          <w:kern w:val="0"/>
          <w:sz w:val="52"/>
          <w:szCs w:val="52"/>
          <w:lang w:bidi="ar"/>
          <w14:textFill>
            <w14:solidFill>
              <w14:schemeClr w14:val="tx1"/>
            </w14:solidFill>
          </w14:textFill>
        </w:rPr>
      </w:pPr>
      <w:r>
        <w:rPr>
          <w:rFonts w:hint="eastAsia" w:ascii="方正小标宋_GBK" w:hAnsi="方正小标宋_GBK" w:eastAsia="方正小标宋_GBK" w:cs="方正小标宋_GBK"/>
          <w:b/>
          <w:bCs/>
          <w:color w:val="000000" w:themeColor="text1"/>
          <w:kern w:val="0"/>
          <w:sz w:val="52"/>
          <w:szCs w:val="52"/>
          <w:lang w:bidi="ar"/>
          <w14:textFill>
            <w14:solidFill>
              <w14:schemeClr w14:val="tx1"/>
            </w14:solidFill>
          </w14:textFill>
        </w:rPr>
        <w:t>钦州市散装水泥、预拌混凝土和预拌砂浆行业发展规划（2022-2025年）</w:t>
      </w:r>
    </w:p>
    <w:p>
      <w:pPr>
        <w:adjustRightInd w:val="0"/>
        <w:snapToGrid w:val="0"/>
        <w:jc w:val="center"/>
        <w:rPr>
          <w:rFonts w:ascii="Times New Roman" w:hAnsi="Times New Roman" w:eastAsia="方正小标宋简体"/>
          <w:color w:val="000000" w:themeColor="text1"/>
          <w:sz w:val="36"/>
          <w:szCs w:val="36"/>
          <w14:textFill>
            <w14:solidFill>
              <w14:schemeClr w14:val="tx1"/>
            </w14:solidFill>
          </w14:textFill>
        </w:rPr>
      </w:pPr>
      <w:r>
        <w:rPr>
          <w:rFonts w:ascii="Times New Roman" w:hAnsi="Times New Roman" w:eastAsia="方正小标宋简体"/>
          <w:color w:val="000000" w:themeColor="text1"/>
          <w:kern w:val="0"/>
          <w:sz w:val="36"/>
          <w:szCs w:val="36"/>
          <w:lang w:bidi="ar"/>
          <w14:textFill>
            <w14:solidFill>
              <w14:schemeClr w14:val="tx1"/>
            </w14:solidFill>
          </w14:textFill>
        </w:rPr>
        <w:t>（</w:t>
      </w:r>
      <w:r>
        <w:rPr>
          <w:rFonts w:hint="eastAsia" w:ascii="Times New Roman" w:hAnsi="Times New Roman" w:eastAsia="方正小标宋简体"/>
          <w:color w:val="000000" w:themeColor="text1"/>
          <w:kern w:val="0"/>
          <w:sz w:val="36"/>
          <w:szCs w:val="36"/>
          <w:lang w:bidi="ar"/>
          <w14:textFill>
            <w14:solidFill>
              <w14:schemeClr w14:val="tx1"/>
            </w14:solidFill>
          </w14:textFill>
        </w:rPr>
        <w:t>评审</w:t>
      </w:r>
      <w:r>
        <w:rPr>
          <w:rFonts w:ascii="Times New Roman" w:hAnsi="Times New Roman" w:eastAsia="方正小标宋简体"/>
          <w:color w:val="000000" w:themeColor="text1"/>
          <w:kern w:val="0"/>
          <w:sz w:val="36"/>
          <w:szCs w:val="36"/>
          <w:lang w:bidi="ar"/>
          <w14:textFill>
            <w14:solidFill>
              <w14:schemeClr w14:val="tx1"/>
            </w14:solidFill>
          </w14:textFill>
        </w:rPr>
        <w:t>稿）</w:t>
      </w:r>
    </w:p>
    <w:p>
      <w:pPr>
        <w:widowControl/>
        <w:adjustRightInd w:val="0"/>
        <w:snapToGrid w:val="0"/>
        <w:spacing w:after="312" w:afterLines="100" w:line="360" w:lineRule="auto"/>
        <w:jc w:val="center"/>
        <w:rPr>
          <w:rFonts w:ascii="Times New Roman" w:hAnsi="Times New Roman" w:eastAsia="黑体"/>
          <w:color w:val="000000" w:themeColor="text1"/>
          <w:kern w:val="0"/>
          <w:sz w:val="36"/>
          <w:szCs w:val="36"/>
          <w:lang w:bidi="ar"/>
          <w14:textFill>
            <w14:solidFill>
              <w14:schemeClr w14:val="tx1"/>
            </w14:solidFill>
          </w14:textFill>
        </w:rPr>
      </w:pPr>
      <w:bookmarkStart w:id="372" w:name="_GoBack"/>
      <w:bookmarkEnd w:id="372"/>
    </w:p>
    <w:p>
      <w:pPr>
        <w:pStyle w:val="2"/>
        <w:rPr>
          <w:rFonts w:ascii="Times New Roman" w:hAnsi="Times New Roman" w:eastAsia="黑体"/>
          <w:color w:val="000000" w:themeColor="text1"/>
          <w:kern w:val="0"/>
          <w:sz w:val="36"/>
          <w:szCs w:val="36"/>
          <w:lang w:bidi="ar"/>
          <w14:textFill>
            <w14:solidFill>
              <w14:schemeClr w14:val="tx1"/>
            </w14:solidFill>
          </w14:textFill>
        </w:rPr>
      </w:pPr>
    </w:p>
    <w:p>
      <w:pPr>
        <w:pStyle w:val="2"/>
        <w:rPr>
          <w:rFonts w:ascii="Times New Roman" w:hAnsi="Times New Roman" w:eastAsia="黑体"/>
          <w:color w:val="000000" w:themeColor="text1"/>
          <w:kern w:val="0"/>
          <w:sz w:val="36"/>
          <w:szCs w:val="36"/>
          <w:lang w:bidi="ar"/>
          <w14:textFill>
            <w14:solidFill>
              <w14:schemeClr w14:val="tx1"/>
            </w14:solidFill>
          </w14:textFill>
        </w:rPr>
      </w:pPr>
    </w:p>
    <w:p>
      <w:pPr>
        <w:pStyle w:val="2"/>
        <w:rPr>
          <w:rFonts w:ascii="Times New Roman" w:hAnsi="Times New Roman" w:eastAsia="黑体"/>
          <w:color w:val="000000" w:themeColor="text1"/>
          <w:kern w:val="0"/>
          <w:sz w:val="36"/>
          <w:szCs w:val="36"/>
          <w:lang w:bidi="ar"/>
          <w14:textFill>
            <w14:solidFill>
              <w14:schemeClr w14:val="tx1"/>
            </w14:solidFill>
          </w14:textFill>
        </w:rPr>
      </w:pPr>
    </w:p>
    <w:p>
      <w:pPr>
        <w:pStyle w:val="2"/>
        <w:rPr>
          <w:rFonts w:ascii="Times New Roman" w:hAnsi="Times New Roman" w:eastAsia="黑体"/>
          <w:color w:val="000000" w:themeColor="text1"/>
          <w:kern w:val="0"/>
          <w:sz w:val="36"/>
          <w:szCs w:val="36"/>
          <w:lang w:bidi="ar"/>
          <w14:textFill>
            <w14:solidFill>
              <w14:schemeClr w14:val="tx1"/>
            </w14:solidFill>
          </w14:textFill>
        </w:rPr>
      </w:pPr>
    </w:p>
    <w:p>
      <w:pPr>
        <w:pStyle w:val="2"/>
        <w:rPr>
          <w:rFonts w:ascii="Times New Roman" w:hAnsi="Times New Roman" w:eastAsia="黑体"/>
          <w:color w:val="000000" w:themeColor="text1"/>
          <w:kern w:val="0"/>
          <w:sz w:val="36"/>
          <w:szCs w:val="36"/>
          <w:lang w:bidi="ar"/>
          <w14:textFill>
            <w14:solidFill>
              <w14:schemeClr w14:val="tx1"/>
            </w14:solidFill>
          </w14:textFill>
        </w:rPr>
      </w:pPr>
    </w:p>
    <w:p>
      <w:pPr>
        <w:pStyle w:val="2"/>
        <w:rPr>
          <w:rFonts w:ascii="Times New Roman" w:hAnsi="Times New Roman" w:eastAsia="黑体"/>
          <w:color w:val="000000" w:themeColor="text1"/>
          <w:kern w:val="0"/>
          <w:sz w:val="36"/>
          <w:szCs w:val="36"/>
          <w:lang w:bidi="ar"/>
          <w14:textFill>
            <w14:solidFill>
              <w14:schemeClr w14:val="tx1"/>
            </w14:solidFill>
          </w14:textFill>
        </w:rPr>
      </w:pPr>
    </w:p>
    <w:p>
      <w:pPr>
        <w:pStyle w:val="2"/>
        <w:rPr>
          <w:rFonts w:ascii="Times New Roman" w:hAnsi="Times New Roman" w:eastAsia="黑体"/>
          <w:color w:val="000000" w:themeColor="text1"/>
          <w:kern w:val="0"/>
          <w:sz w:val="36"/>
          <w:szCs w:val="36"/>
          <w:lang w:bidi="ar"/>
          <w14:textFill>
            <w14:solidFill>
              <w14:schemeClr w14:val="tx1"/>
            </w14:solidFill>
          </w14:textFill>
        </w:rPr>
      </w:pPr>
      <w:r>
        <w:rPr>
          <w:rFonts w:ascii="Times New Roman" w:hAnsi="Times New Roman" w:eastAsia="黑体"/>
          <w:color w:val="000000" w:themeColor="text1"/>
          <w:kern w:val="0"/>
          <w:sz w:val="36"/>
          <w:szCs w:val="36"/>
          <w:lang w:bidi="ar"/>
          <w14:textFill>
            <w14:solidFill>
              <w14:schemeClr w14:val="tx1"/>
            </w14:solidFill>
          </w14:textFill>
        </w:rPr>
        <w:t>组织单位：钦州市工业和信息化局</w:t>
      </w:r>
    </w:p>
    <w:p>
      <w:pPr>
        <w:pStyle w:val="2"/>
        <w:rPr>
          <w:rFonts w:ascii="Times New Roman" w:hAnsi="Times New Roman" w:eastAsia="黑体"/>
          <w:color w:val="000000" w:themeColor="text1"/>
          <w:kern w:val="0"/>
          <w:sz w:val="36"/>
          <w:szCs w:val="36"/>
          <w:lang w:bidi="ar"/>
          <w14:textFill>
            <w14:solidFill>
              <w14:schemeClr w14:val="tx1"/>
            </w14:solidFill>
          </w14:textFill>
        </w:rPr>
      </w:pPr>
      <w:r>
        <w:rPr>
          <w:rFonts w:ascii="Times New Roman" w:hAnsi="Times New Roman" w:eastAsia="黑体"/>
          <w:color w:val="000000" w:themeColor="text1"/>
          <w:kern w:val="0"/>
          <w:sz w:val="36"/>
          <w:szCs w:val="36"/>
          <w:lang w:bidi="ar"/>
          <w14:textFill>
            <w14:solidFill>
              <w14:schemeClr w14:val="tx1"/>
            </w14:solidFill>
          </w14:textFill>
        </w:rPr>
        <w:t>编制单位：广西建筑材料科学研究设计院有限公司</w:t>
      </w:r>
    </w:p>
    <w:p>
      <w:pPr>
        <w:pStyle w:val="2"/>
        <w:rPr>
          <w:rFonts w:ascii="Times New Roman" w:hAnsi="Times New Roman" w:eastAsia="黑体"/>
          <w:color w:val="000000" w:themeColor="text1"/>
          <w:kern w:val="0"/>
          <w:sz w:val="36"/>
          <w:szCs w:val="36"/>
          <w:lang w:bidi="ar"/>
          <w14:textFill>
            <w14:solidFill>
              <w14:schemeClr w14:val="tx1"/>
            </w14:solidFill>
          </w14:textFill>
        </w:rPr>
        <w:sectPr>
          <w:footerReference r:id="rId3" w:type="default"/>
          <w:pgSz w:w="11906" w:h="16838"/>
          <w:pgMar w:top="1440" w:right="1800" w:bottom="1440" w:left="1800" w:header="851" w:footer="992" w:gutter="0"/>
          <w:pgNumType w:start="1"/>
          <w:cols w:space="425" w:num="1"/>
          <w:docGrid w:type="lines" w:linePitch="312" w:charSpace="0"/>
        </w:sectPr>
      </w:pPr>
      <w:r>
        <w:rPr>
          <w:rFonts w:ascii="Times New Roman" w:hAnsi="Times New Roman" w:eastAsia="黑体"/>
          <w:color w:val="000000" w:themeColor="text1"/>
          <w:kern w:val="0"/>
          <w:sz w:val="36"/>
          <w:szCs w:val="36"/>
          <w:lang w:bidi="ar"/>
          <w14:textFill>
            <w14:solidFill>
              <w14:schemeClr w14:val="tx1"/>
            </w14:solidFill>
          </w14:textFill>
        </w:rPr>
        <w:t>编制日期：2021年12月</w:t>
      </w:r>
    </w:p>
    <w:sdt>
      <w:sdtPr>
        <w:rPr>
          <w:rFonts w:ascii="Times New Roman" w:hAnsi="Times New Roman"/>
          <w:color w:val="000000" w:themeColor="text1"/>
          <w:szCs w:val="24"/>
          <w14:textFill>
            <w14:solidFill>
              <w14:schemeClr w14:val="tx1"/>
            </w14:solidFill>
          </w14:textFill>
        </w:rPr>
        <w:id w:val="147475700"/>
        <w:docPartObj>
          <w:docPartGallery w:val="Table of Contents"/>
          <w:docPartUnique/>
        </w:docPartObj>
      </w:sdtPr>
      <w:sdtEndPr>
        <w:rPr>
          <w:rFonts w:ascii="Times New Roman" w:hAnsi="Times New Roman"/>
          <w:b/>
          <w:color w:val="000000" w:themeColor="text1"/>
          <w:szCs w:val="24"/>
          <w14:textFill>
            <w14:solidFill>
              <w14:schemeClr w14:val="tx1"/>
            </w14:solidFill>
          </w14:textFill>
        </w:rPr>
      </w:sdtEndPr>
      <w:sdtContent>
        <w:p>
          <w:pPr>
            <w:jc w:val="center"/>
            <w:rPr>
              <w:rFonts w:ascii="Times New Roman" w:hAnsi="Times New Roman" w:eastAsia="黑体"/>
              <w:b/>
              <w:bCs/>
              <w:color w:val="000000" w:themeColor="text1"/>
              <w:sz w:val="36"/>
              <w:szCs w:val="36"/>
              <w14:textFill>
                <w14:solidFill>
                  <w14:schemeClr w14:val="tx1"/>
                </w14:solidFill>
              </w14:textFill>
            </w:rPr>
          </w:pPr>
          <w:bookmarkStart w:id="1" w:name="_Toc12171"/>
          <w:bookmarkStart w:id="2" w:name="_Toc10018"/>
          <w:bookmarkStart w:id="3" w:name="_Toc6399"/>
          <w:bookmarkStart w:id="4" w:name="_Toc19435"/>
          <w:bookmarkStart w:id="5" w:name="_Toc18491"/>
          <w:bookmarkStart w:id="6" w:name="_Toc7535"/>
          <w:bookmarkStart w:id="7" w:name="_Toc89203765"/>
          <w:bookmarkStart w:id="8" w:name="_Toc14096"/>
          <w:bookmarkStart w:id="9" w:name="_Toc18624"/>
          <w:bookmarkStart w:id="10" w:name="_Toc25253"/>
          <w:bookmarkStart w:id="11" w:name="_Toc12235"/>
          <w:r>
            <w:rPr>
              <w:rFonts w:ascii="Times New Roman" w:hAnsi="Times New Roman" w:eastAsia="黑体"/>
              <w:b/>
              <w:bCs/>
              <w:color w:val="000000" w:themeColor="text1"/>
              <w:sz w:val="36"/>
              <w:szCs w:val="36"/>
              <w14:textFill>
                <w14:solidFill>
                  <w14:schemeClr w14:val="tx1"/>
                </w14:solidFill>
              </w14:textFill>
            </w:rPr>
            <w:t>目</w:t>
          </w:r>
          <w:r>
            <w:rPr>
              <w:rFonts w:hint="eastAsia" w:ascii="Times New Roman" w:hAnsi="Times New Roman" w:eastAsia="黑体"/>
              <w:b/>
              <w:bCs/>
              <w:color w:val="000000" w:themeColor="text1"/>
              <w:sz w:val="36"/>
              <w:szCs w:val="36"/>
              <w14:textFill>
                <w14:solidFill>
                  <w14:schemeClr w14:val="tx1"/>
                </w14:solidFill>
              </w14:textFill>
            </w:rPr>
            <w:t xml:space="preserve">  </w:t>
          </w:r>
          <w:r>
            <w:rPr>
              <w:rFonts w:ascii="Times New Roman" w:hAnsi="Times New Roman" w:eastAsia="黑体"/>
              <w:b/>
              <w:bCs/>
              <w:color w:val="000000" w:themeColor="text1"/>
              <w:sz w:val="36"/>
              <w:szCs w:val="36"/>
              <w14:textFill>
                <w14:solidFill>
                  <w14:schemeClr w14:val="tx1"/>
                </w14:solidFill>
              </w14:textFill>
            </w:rPr>
            <w:t>录</w:t>
          </w:r>
        </w:p>
        <w:p>
          <w:pPr>
            <w:pStyle w:val="11"/>
            <w:tabs>
              <w:tab w:val="right" w:leader="dot" w:pos="8306"/>
            </w:tabs>
            <w:rPr>
              <w:rFonts w:ascii="黑体" w:hAnsi="黑体" w:eastAsia="黑体" w:cs="黑体"/>
              <w:b w:val="0"/>
              <w:bCs/>
            </w:rPr>
          </w:pPr>
          <w:r>
            <w:rPr>
              <w:rFonts w:ascii="Times New Roman" w:hAnsi="Times New Roman"/>
              <w:color w:val="000000" w:themeColor="text1"/>
              <w14:textFill>
                <w14:solidFill>
                  <w14:schemeClr w14:val="tx1"/>
                </w14:solidFill>
              </w14:textFill>
            </w:rPr>
            <w:fldChar w:fldCharType="begin"/>
          </w:r>
          <w:r>
            <w:rPr>
              <w:rFonts w:ascii="Times New Roman" w:hAnsi="Times New Roman"/>
              <w:color w:val="000000" w:themeColor="text1"/>
              <w14:textFill>
                <w14:solidFill>
                  <w14:schemeClr w14:val="tx1"/>
                </w14:solidFill>
              </w14:textFill>
            </w:rPr>
            <w:instrText xml:space="preserve">TOC \o "1-2" \h \u </w:instrText>
          </w:r>
          <w:r>
            <w:rPr>
              <w:rFonts w:ascii="Times New Roman" w:hAnsi="Times New Roman"/>
              <w:color w:val="000000" w:themeColor="text1"/>
              <w14:textFill>
                <w14:solidFill>
                  <w14:schemeClr w14:val="tx1"/>
                </w14:solidFill>
              </w14:textFill>
            </w:rPr>
            <w:fldChar w:fldCharType="separate"/>
          </w:r>
          <w:r>
            <w:fldChar w:fldCharType="begin"/>
          </w:r>
          <w:r>
            <w:instrText xml:space="preserve"> HYPERLINK \l "_Toc19560" </w:instrText>
          </w:r>
          <w:r>
            <w:fldChar w:fldCharType="separate"/>
          </w:r>
          <w:r>
            <w:rPr>
              <w:rFonts w:hint="eastAsia" w:ascii="黑体" w:hAnsi="黑体" w:eastAsia="黑体" w:cs="黑体"/>
              <w:b w:val="0"/>
              <w:bCs/>
              <w:kern w:val="0"/>
              <w:szCs w:val="36"/>
              <w:lang w:bidi="ar"/>
            </w:rPr>
            <w:t>前  言</w:t>
          </w:r>
          <w:r>
            <w:rPr>
              <w:rFonts w:hint="eastAsia" w:ascii="黑体" w:hAnsi="黑体" w:eastAsia="黑体" w:cs="黑体"/>
              <w:b w:val="0"/>
              <w:bCs/>
            </w:rPr>
            <w:tab/>
          </w:r>
          <w:r>
            <w:rPr>
              <w:rFonts w:hint="eastAsia" w:ascii="黑体" w:hAnsi="黑体" w:eastAsia="黑体" w:cs="黑体"/>
              <w:b w:val="0"/>
              <w:bCs/>
            </w:rPr>
            <w:fldChar w:fldCharType="begin"/>
          </w:r>
          <w:r>
            <w:rPr>
              <w:rFonts w:hint="eastAsia" w:ascii="黑体" w:hAnsi="黑体" w:eastAsia="黑体" w:cs="黑体"/>
              <w:b w:val="0"/>
              <w:bCs/>
            </w:rPr>
            <w:instrText xml:space="preserve"> PAGEREF _Toc19560 \h </w:instrText>
          </w:r>
          <w:r>
            <w:rPr>
              <w:rFonts w:hint="eastAsia" w:ascii="黑体" w:hAnsi="黑体" w:eastAsia="黑体" w:cs="黑体"/>
              <w:b w:val="0"/>
              <w:bCs/>
            </w:rPr>
            <w:fldChar w:fldCharType="separate"/>
          </w:r>
          <w:r>
            <w:rPr>
              <w:rFonts w:hint="eastAsia" w:ascii="黑体" w:hAnsi="黑体" w:eastAsia="黑体" w:cs="黑体"/>
              <w:b w:val="0"/>
              <w:bCs/>
            </w:rPr>
            <w:t>1</w:t>
          </w:r>
          <w:r>
            <w:rPr>
              <w:rFonts w:hint="eastAsia" w:ascii="黑体" w:hAnsi="黑体" w:eastAsia="黑体" w:cs="黑体"/>
              <w:b w:val="0"/>
              <w:bCs/>
            </w:rPr>
            <w:fldChar w:fldCharType="end"/>
          </w:r>
          <w:r>
            <w:rPr>
              <w:rFonts w:hint="eastAsia" w:ascii="黑体" w:hAnsi="黑体" w:eastAsia="黑体" w:cs="黑体"/>
              <w:b w:val="0"/>
              <w:bCs/>
            </w:rPr>
            <w:fldChar w:fldCharType="end"/>
          </w:r>
        </w:p>
        <w:p>
          <w:pPr>
            <w:pStyle w:val="11"/>
            <w:tabs>
              <w:tab w:val="right" w:leader="dot" w:pos="8306"/>
            </w:tabs>
            <w:rPr>
              <w:rFonts w:ascii="黑体" w:hAnsi="黑体" w:eastAsia="黑体" w:cs="黑体"/>
              <w:b w:val="0"/>
              <w:bCs/>
            </w:rPr>
          </w:pPr>
          <w:r>
            <w:fldChar w:fldCharType="begin"/>
          </w:r>
          <w:r>
            <w:instrText xml:space="preserve"> HYPERLINK \l "_Toc4219" </w:instrText>
          </w:r>
          <w:r>
            <w:fldChar w:fldCharType="separate"/>
          </w:r>
          <w:r>
            <w:rPr>
              <w:rFonts w:hint="eastAsia" w:ascii="黑体" w:hAnsi="黑体" w:eastAsia="黑体" w:cs="黑体"/>
              <w:b w:val="0"/>
              <w:bCs/>
              <w:kern w:val="0"/>
              <w:szCs w:val="36"/>
              <w:lang w:bidi="ar"/>
            </w:rPr>
            <w:t>第一章  发展基础</w:t>
          </w:r>
          <w:r>
            <w:rPr>
              <w:rFonts w:hint="eastAsia" w:ascii="黑体" w:hAnsi="黑体" w:eastAsia="黑体" w:cs="黑体"/>
              <w:b w:val="0"/>
              <w:bCs/>
            </w:rPr>
            <w:tab/>
          </w:r>
          <w:r>
            <w:rPr>
              <w:rFonts w:hint="eastAsia" w:ascii="黑体" w:hAnsi="黑体" w:eastAsia="黑体" w:cs="黑体"/>
              <w:b w:val="0"/>
              <w:bCs/>
            </w:rPr>
            <w:fldChar w:fldCharType="begin"/>
          </w:r>
          <w:r>
            <w:rPr>
              <w:rFonts w:hint="eastAsia" w:ascii="黑体" w:hAnsi="黑体" w:eastAsia="黑体" w:cs="黑体"/>
              <w:b w:val="0"/>
              <w:bCs/>
            </w:rPr>
            <w:instrText xml:space="preserve"> PAGEREF _Toc4219 \h </w:instrText>
          </w:r>
          <w:r>
            <w:rPr>
              <w:rFonts w:hint="eastAsia" w:ascii="黑体" w:hAnsi="黑体" w:eastAsia="黑体" w:cs="黑体"/>
              <w:b w:val="0"/>
              <w:bCs/>
            </w:rPr>
            <w:fldChar w:fldCharType="separate"/>
          </w:r>
          <w:r>
            <w:rPr>
              <w:rFonts w:hint="eastAsia" w:ascii="黑体" w:hAnsi="黑体" w:eastAsia="黑体" w:cs="黑体"/>
              <w:b w:val="0"/>
              <w:bCs/>
            </w:rPr>
            <w:t>2</w:t>
          </w:r>
          <w:r>
            <w:rPr>
              <w:rFonts w:hint="eastAsia" w:ascii="黑体" w:hAnsi="黑体" w:eastAsia="黑体" w:cs="黑体"/>
              <w:b w:val="0"/>
              <w:bCs/>
            </w:rPr>
            <w:fldChar w:fldCharType="end"/>
          </w:r>
          <w:r>
            <w:rPr>
              <w:rFonts w:hint="eastAsia" w:ascii="黑体" w:hAnsi="黑体" w:eastAsia="黑体" w:cs="黑体"/>
              <w:b w:val="0"/>
              <w:bCs/>
            </w:rPr>
            <w:fldChar w:fldCharType="end"/>
          </w:r>
        </w:p>
        <w:p>
          <w:pPr>
            <w:pStyle w:val="12"/>
            <w:tabs>
              <w:tab w:val="right" w:leader="dot" w:pos="8306"/>
            </w:tabs>
            <w:rPr>
              <w:rFonts w:ascii="楷体" w:hAnsi="楷体" w:eastAsia="楷体" w:cs="楷体"/>
            </w:rPr>
          </w:pPr>
          <w:r>
            <w:fldChar w:fldCharType="begin"/>
          </w:r>
          <w:r>
            <w:instrText xml:space="preserve"> HYPERLINK \l "_Toc21564" </w:instrText>
          </w:r>
          <w:r>
            <w:fldChar w:fldCharType="separate"/>
          </w:r>
          <w:r>
            <w:rPr>
              <w:rFonts w:hint="eastAsia" w:ascii="楷体" w:hAnsi="楷体" w:eastAsia="楷体" w:cs="楷体"/>
              <w:bCs/>
              <w:szCs w:val="26"/>
            </w:rPr>
            <w:t>一、行业现状</w:t>
          </w:r>
          <w:r>
            <w:rPr>
              <w:rFonts w:hint="eastAsia" w:ascii="楷体" w:hAnsi="楷体" w:eastAsia="楷体" w:cs="楷体"/>
            </w:rPr>
            <w:tab/>
          </w:r>
          <w:r>
            <w:rPr>
              <w:rFonts w:hint="eastAsia" w:ascii="楷体" w:hAnsi="楷体" w:eastAsia="楷体" w:cs="楷体"/>
            </w:rPr>
            <w:fldChar w:fldCharType="begin"/>
          </w:r>
          <w:r>
            <w:rPr>
              <w:rFonts w:hint="eastAsia" w:ascii="楷体" w:hAnsi="楷体" w:eastAsia="楷体" w:cs="楷体"/>
            </w:rPr>
            <w:instrText xml:space="preserve"> PAGEREF _Toc21564 \h </w:instrText>
          </w:r>
          <w:r>
            <w:rPr>
              <w:rFonts w:hint="eastAsia" w:ascii="楷体" w:hAnsi="楷体" w:eastAsia="楷体" w:cs="楷体"/>
            </w:rPr>
            <w:fldChar w:fldCharType="separate"/>
          </w:r>
          <w:r>
            <w:rPr>
              <w:rFonts w:hint="eastAsia" w:ascii="楷体" w:hAnsi="楷体" w:eastAsia="楷体" w:cs="楷体"/>
            </w:rPr>
            <w:t>2</w:t>
          </w:r>
          <w:r>
            <w:rPr>
              <w:rFonts w:hint="eastAsia" w:ascii="楷体" w:hAnsi="楷体" w:eastAsia="楷体" w:cs="楷体"/>
            </w:rPr>
            <w:fldChar w:fldCharType="end"/>
          </w:r>
          <w:r>
            <w:rPr>
              <w:rFonts w:hint="eastAsia" w:ascii="楷体" w:hAnsi="楷体" w:eastAsia="楷体" w:cs="楷体"/>
            </w:rPr>
            <w:fldChar w:fldCharType="end"/>
          </w:r>
        </w:p>
        <w:p>
          <w:pPr>
            <w:pStyle w:val="12"/>
            <w:tabs>
              <w:tab w:val="right" w:leader="dot" w:pos="8306"/>
            </w:tabs>
            <w:rPr>
              <w:rFonts w:ascii="楷体" w:hAnsi="楷体" w:eastAsia="楷体" w:cs="楷体"/>
            </w:rPr>
          </w:pPr>
          <w:r>
            <w:fldChar w:fldCharType="begin"/>
          </w:r>
          <w:r>
            <w:instrText xml:space="preserve"> HYPERLINK \l "_Toc9278" </w:instrText>
          </w:r>
          <w:r>
            <w:fldChar w:fldCharType="separate"/>
          </w:r>
          <w:r>
            <w:rPr>
              <w:rFonts w:hint="eastAsia" w:ascii="楷体" w:hAnsi="楷体" w:eastAsia="楷体" w:cs="楷体"/>
              <w:szCs w:val="28"/>
            </w:rPr>
            <w:t>二、发展成效</w:t>
          </w:r>
          <w:r>
            <w:rPr>
              <w:rFonts w:hint="eastAsia" w:ascii="楷体" w:hAnsi="楷体" w:eastAsia="楷体" w:cs="楷体"/>
            </w:rPr>
            <w:tab/>
          </w:r>
          <w:r>
            <w:rPr>
              <w:rFonts w:hint="eastAsia" w:ascii="楷体" w:hAnsi="楷体" w:eastAsia="楷体" w:cs="楷体"/>
            </w:rPr>
            <w:fldChar w:fldCharType="begin"/>
          </w:r>
          <w:r>
            <w:rPr>
              <w:rFonts w:hint="eastAsia" w:ascii="楷体" w:hAnsi="楷体" w:eastAsia="楷体" w:cs="楷体"/>
            </w:rPr>
            <w:instrText xml:space="preserve"> PAGEREF _Toc9278 \h </w:instrText>
          </w:r>
          <w:r>
            <w:rPr>
              <w:rFonts w:hint="eastAsia" w:ascii="楷体" w:hAnsi="楷体" w:eastAsia="楷体" w:cs="楷体"/>
            </w:rPr>
            <w:fldChar w:fldCharType="separate"/>
          </w:r>
          <w:r>
            <w:rPr>
              <w:rFonts w:hint="eastAsia" w:ascii="楷体" w:hAnsi="楷体" w:eastAsia="楷体" w:cs="楷体"/>
            </w:rPr>
            <w:t>11</w:t>
          </w:r>
          <w:r>
            <w:rPr>
              <w:rFonts w:hint="eastAsia" w:ascii="楷体" w:hAnsi="楷体" w:eastAsia="楷体" w:cs="楷体"/>
            </w:rPr>
            <w:fldChar w:fldCharType="end"/>
          </w:r>
          <w:r>
            <w:rPr>
              <w:rFonts w:hint="eastAsia" w:ascii="楷体" w:hAnsi="楷体" w:eastAsia="楷体" w:cs="楷体"/>
            </w:rPr>
            <w:fldChar w:fldCharType="end"/>
          </w:r>
        </w:p>
        <w:p>
          <w:pPr>
            <w:pStyle w:val="12"/>
            <w:tabs>
              <w:tab w:val="right" w:leader="dot" w:pos="8306"/>
            </w:tabs>
            <w:rPr>
              <w:rFonts w:ascii="楷体" w:hAnsi="楷体" w:eastAsia="楷体" w:cs="楷体"/>
            </w:rPr>
          </w:pPr>
          <w:r>
            <w:fldChar w:fldCharType="begin"/>
          </w:r>
          <w:r>
            <w:instrText xml:space="preserve"> HYPERLINK \l "_Toc16601" </w:instrText>
          </w:r>
          <w:r>
            <w:fldChar w:fldCharType="separate"/>
          </w:r>
          <w:r>
            <w:rPr>
              <w:rFonts w:hint="eastAsia" w:ascii="楷体" w:hAnsi="楷体" w:eastAsia="楷体" w:cs="楷体"/>
              <w:szCs w:val="28"/>
            </w:rPr>
            <w:t>三、“十三五”规划指标完成情况</w:t>
          </w:r>
          <w:r>
            <w:rPr>
              <w:rFonts w:hint="eastAsia" w:ascii="楷体" w:hAnsi="楷体" w:eastAsia="楷体" w:cs="楷体"/>
            </w:rPr>
            <w:tab/>
          </w:r>
          <w:r>
            <w:rPr>
              <w:rFonts w:hint="eastAsia" w:ascii="楷体" w:hAnsi="楷体" w:eastAsia="楷体" w:cs="楷体"/>
            </w:rPr>
            <w:fldChar w:fldCharType="begin"/>
          </w:r>
          <w:r>
            <w:rPr>
              <w:rFonts w:hint="eastAsia" w:ascii="楷体" w:hAnsi="楷体" w:eastAsia="楷体" w:cs="楷体"/>
            </w:rPr>
            <w:instrText xml:space="preserve"> PAGEREF _Toc16601 \h </w:instrText>
          </w:r>
          <w:r>
            <w:rPr>
              <w:rFonts w:hint="eastAsia" w:ascii="楷体" w:hAnsi="楷体" w:eastAsia="楷体" w:cs="楷体"/>
            </w:rPr>
            <w:fldChar w:fldCharType="separate"/>
          </w:r>
          <w:r>
            <w:rPr>
              <w:rFonts w:hint="eastAsia" w:ascii="楷体" w:hAnsi="楷体" w:eastAsia="楷体" w:cs="楷体"/>
            </w:rPr>
            <w:t>12</w:t>
          </w:r>
          <w:r>
            <w:rPr>
              <w:rFonts w:hint="eastAsia" w:ascii="楷体" w:hAnsi="楷体" w:eastAsia="楷体" w:cs="楷体"/>
            </w:rPr>
            <w:fldChar w:fldCharType="end"/>
          </w:r>
          <w:r>
            <w:rPr>
              <w:rFonts w:hint="eastAsia" w:ascii="楷体" w:hAnsi="楷体" w:eastAsia="楷体" w:cs="楷体"/>
            </w:rPr>
            <w:fldChar w:fldCharType="end"/>
          </w:r>
        </w:p>
        <w:p>
          <w:pPr>
            <w:pStyle w:val="12"/>
            <w:tabs>
              <w:tab w:val="right" w:leader="dot" w:pos="8306"/>
            </w:tabs>
            <w:rPr>
              <w:rFonts w:ascii="楷体" w:hAnsi="楷体" w:eastAsia="楷体" w:cs="楷体"/>
            </w:rPr>
          </w:pPr>
          <w:r>
            <w:fldChar w:fldCharType="begin"/>
          </w:r>
          <w:r>
            <w:instrText xml:space="preserve"> HYPERLINK \l "_Toc27091" </w:instrText>
          </w:r>
          <w:r>
            <w:fldChar w:fldCharType="separate"/>
          </w:r>
          <w:r>
            <w:rPr>
              <w:rFonts w:hint="eastAsia" w:ascii="楷体" w:hAnsi="楷体" w:eastAsia="楷体" w:cs="楷体"/>
              <w:szCs w:val="28"/>
            </w:rPr>
            <w:t>四、存在的问题</w:t>
          </w:r>
          <w:r>
            <w:rPr>
              <w:rFonts w:hint="eastAsia" w:ascii="楷体" w:hAnsi="楷体" w:eastAsia="楷体" w:cs="楷体"/>
            </w:rPr>
            <w:tab/>
          </w:r>
          <w:r>
            <w:rPr>
              <w:rFonts w:hint="eastAsia" w:ascii="楷体" w:hAnsi="楷体" w:eastAsia="楷体" w:cs="楷体"/>
            </w:rPr>
            <w:fldChar w:fldCharType="begin"/>
          </w:r>
          <w:r>
            <w:rPr>
              <w:rFonts w:hint="eastAsia" w:ascii="楷体" w:hAnsi="楷体" w:eastAsia="楷体" w:cs="楷体"/>
            </w:rPr>
            <w:instrText xml:space="preserve"> PAGEREF _Toc27091 \h </w:instrText>
          </w:r>
          <w:r>
            <w:rPr>
              <w:rFonts w:hint="eastAsia" w:ascii="楷体" w:hAnsi="楷体" w:eastAsia="楷体" w:cs="楷体"/>
            </w:rPr>
            <w:fldChar w:fldCharType="separate"/>
          </w:r>
          <w:r>
            <w:rPr>
              <w:rFonts w:hint="eastAsia" w:ascii="楷体" w:hAnsi="楷体" w:eastAsia="楷体" w:cs="楷体"/>
            </w:rPr>
            <w:t>12</w:t>
          </w:r>
          <w:r>
            <w:rPr>
              <w:rFonts w:hint="eastAsia" w:ascii="楷体" w:hAnsi="楷体" w:eastAsia="楷体" w:cs="楷体"/>
            </w:rPr>
            <w:fldChar w:fldCharType="end"/>
          </w:r>
          <w:r>
            <w:rPr>
              <w:rFonts w:hint="eastAsia" w:ascii="楷体" w:hAnsi="楷体" w:eastAsia="楷体" w:cs="楷体"/>
            </w:rPr>
            <w:fldChar w:fldCharType="end"/>
          </w:r>
        </w:p>
        <w:p>
          <w:pPr>
            <w:pStyle w:val="11"/>
            <w:tabs>
              <w:tab w:val="right" w:leader="dot" w:pos="8306"/>
            </w:tabs>
            <w:rPr>
              <w:rFonts w:ascii="黑体" w:hAnsi="黑体" w:eastAsia="黑体" w:cs="黑体"/>
              <w:b w:val="0"/>
              <w:bCs/>
              <w:color w:val="000000" w:themeColor="text1"/>
              <w14:textFill>
                <w14:solidFill>
                  <w14:schemeClr w14:val="tx1"/>
                </w14:solidFill>
              </w14:textFill>
            </w:rPr>
          </w:pPr>
          <w:r>
            <w:fldChar w:fldCharType="begin"/>
          </w:r>
          <w:r>
            <w:instrText xml:space="preserve"> HYPERLINK \l "_Toc17523" </w:instrText>
          </w:r>
          <w:r>
            <w:fldChar w:fldCharType="separate"/>
          </w:r>
          <w:r>
            <w:rPr>
              <w:rFonts w:hint="eastAsia" w:ascii="黑体" w:hAnsi="黑体" w:eastAsia="黑体" w:cs="黑体"/>
              <w:b w:val="0"/>
              <w:bCs/>
              <w:color w:val="000000" w:themeColor="text1"/>
              <w:lang w:bidi="ar"/>
              <w14:textFill>
                <w14:solidFill>
                  <w14:schemeClr w14:val="tx1"/>
                </w14:solidFill>
              </w14:textFill>
            </w:rPr>
            <w:t>第二章  发展环境</w:t>
          </w:r>
          <w:r>
            <w:rPr>
              <w:rFonts w:hint="eastAsia" w:ascii="黑体" w:hAnsi="黑体" w:eastAsia="黑体" w:cs="黑体"/>
              <w:b w:val="0"/>
              <w:bCs/>
              <w:color w:val="000000" w:themeColor="text1"/>
              <w14:textFill>
                <w14:solidFill>
                  <w14:schemeClr w14:val="tx1"/>
                </w14:solidFill>
              </w14:textFill>
            </w:rPr>
            <w:tab/>
          </w:r>
          <w:r>
            <w:rPr>
              <w:rFonts w:hint="eastAsia" w:ascii="黑体" w:hAnsi="黑体" w:eastAsia="黑体" w:cs="黑体"/>
              <w:b w:val="0"/>
              <w:bCs/>
              <w:color w:val="000000" w:themeColor="text1"/>
              <w14:textFill>
                <w14:solidFill>
                  <w14:schemeClr w14:val="tx1"/>
                </w14:solidFill>
              </w14:textFill>
            </w:rPr>
            <w:fldChar w:fldCharType="begin"/>
          </w:r>
          <w:r>
            <w:rPr>
              <w:rFonts w:hint="eastAsia" w:ascii="黑体" w:hAnsi="黑体" w:eastAsia="黑体" w:cs="黑体"/>
              <w:b w:val="0"/>
              <w:bCs/>
              <w:color w:val="000000" w:themeColor="text1"/>
              <w14:textFill>
                <w14:solidFill>
                  <w14:schemeClr w14:val="tx1"/>
                </w14:solidFill>
              </w14:textFill>
            </w:rPr>
            <w:instrText xml:space="preserve"> PAGEREF _Toc17523 \h </w:instrText>
          </w:r>
          <w:r>
            <w:rPr>
              <w:rFonts w:hint="eastAsia" w:ascii="黑体" w:hAnsi="黑体" w:eastAsia="黑体" w:cs="黑体"/>
              <w:b w:val="0"/>
              <w:bCs/>
              <w:color w:val="000000" w:themeColor="text1"/>
              <w14:textFill>
                <w14:solidFill>
                  <w14:schemeClr w14:val="tx1"/>
                </w14:solidFill>
              </w14:textFill>
            </w:rPr>
            <w:fldChar w:fldCharType="separate"/>
          </w:r>
          <w:r>
            <w:rPr>
              <w:rFonts w:hint="eastAsia" w:ascii="黑体" w:hAnsi="黑体" w:eastAsia="黑体" w:cs="黑体"/>
              <w:b w:val="0"/>
              <w:bCs/>
              <w:color w:val="000000" w:themeColor="text1"/>
              <w14:textFill>
                <w14:solidFill>
                  <w14:schemeClr w14:val="tx1"/>
                </w14:solidFill>
              </w14:textFill>
            </w:rPr>
            <w:t>16</w:t>
          </w:r>
          <w:r>
            <w:rPr>
              <w:rFonts w:hint="eastAsia" w:ascii="黑体" w:hAnsi="黑体" w:eastAsia="黑体" w:cs="黑体"/>
              <w:b w:val="0"/>
              <w:bCs/>
              <w:color w:val="000000" w:themeColor="text1"/>
              <w14:textFill>
                <w14:solidFill>
                  <w14:schemeClr w14:val="tx1"/>
                </w14:solidFill>
              </w14:textFill>
            </w:rPr>
            <w:fldChar w:fldCharType="end"/>
          </w:r>
          <w:r>
            <w:rPr>
              <w:rFonts w:hint="eastAsia" w:ascii="黑体" w:hAnsi="黑体" w:eastAsia="黑体" w:cs="黑体"/>
              <w:b w:val="0"/>
              <w:bCs/>
              <w:color w:val="000000" w:themeColor="text1"/>
              <w14:textFill>
                <w14:solidFill>
                  <w14:schemeClr w14:val="tx1"/>
                </w14:solidFill>
              </w14:textFill>
            </w:rPr>
            <w:fldChar w:fldCharType="end"/>
          </w:r>
        </w:p>
        <w:p>
          <w:pPr>
            <w:pStyle w:val="12"/>
            <w:tabs>
              <w:tab w:val="right" w:leader="dot" w:pos="8306"/>
            </w:tabs>
            <w:rPr>
              <w:rFonts w:ascii="楷体" w:hAnsi="楷体" w:eastAsia="楷体" w:cs="楷体"/>
              <w:color w:val="000000" w:themeColor="text1"/>
              <w14:textFill>
                <w14:solidFill>
                  <w14:schemeClr w14:val="tx1"/>
                </w14:solidFill>
              </w14:textFill>
            </w:rPr>
          </w:pPr>
          <w:r>
            <w:fldChar w:fldCharType="begin"/>
          </w:r>
          <w:r>
            <w:instrText xml:space="preserve"> HYPERLINK \l "_Toc32284" </w:instrText>
          </w:r>
          <w:r>
            <w:fldChar w:fldCharType="separate"/>
          </w:r>
          <w:r>
            <w:rPr>
              <w:rFonts w:hint="eastAsia" w:ascii="楷体" w:hAnsi="楷体" w:eastAsia="楷体" w:cs="楷体"/>
              <w:color w:val="000000" w:themeColor="text1"/>
              <w14:textFill>
                <w14:solidFill>
                  <w14:schemeClr w14:val="tx1"/>
                </w14:solidFill>
              </w14:textFill>
            </w:rPr>
            <w:t>一、发展形势</w:t>
          </w:r>
          <w:r>
            <w:rPr>
              <w:rFonts w:hint="eastAsia" w:ascii="楷体" w:hAnsi="楷体" w:eastAsia="楷体" w:cs="楷体"/>
              <w:color w:val="000000" w:themeColor="text1"/>
              <w14:textFill>
                <w14:solidFill>
                  <w14:schemeClr w14:val="tx1"/>
                </w14:solidFill>
              </w14:textFill>
            </w:rPr>
            <w:tab/>
          </w:r>
          <w:r>
            <w:rPr>
              <w:rFonts w:hint="eastAsia" w:ascii="楷体" w:hAnsi="楷体" w:eastAsia="楷体" w:cs="楷体"/>
              <w:color w:val="000000" w:themeColor="text1"/>
              <w14:textFill>
                <w14:solidFill>
                  <w14:schemeClr w14:val="tx1"/>
                </w14:solidFill>
              </w14:textFill>
            </w:rPr>
            <w:fldChar w:fldCharType="begin"/>
          </w:r>
          <w:r>
            <w:rPr>
              <w:rFonts w:hint="eastAsia" w:ascii="楷体" w:hAnsi="楷体" w:eastAsia="楷体" w:cs="楷体"/>
              <w:color w:val="000000" w:themeColor="text1"/>
              <w14:textFill>
                <w14:solidFill>
                  <w14:schemeClr w14:val="tx1"/>
                </w14:solidFill>
              </w14:textFill>
            </w:rPr>
            <w:instrText xml:space="preserve"> PAGEREF _Toc32284 \h </w:instrText>
          </w:r>
          <w:r>
            <w:rPr>
              <w:rFonts w:hint="eastAsia" w:ascii="楷体" w:hAnsi="楷体" w:eastAsia="楷体" w:cs="楷体"/>
              <w:color w:val="000000" w:themeColor="text1"/>
              <w14:textFill>
                <w14:solidFill>
                  <w14:schemeClr w14:val="tx1"/>
                </w14:solidFill>
              </w14:textFill>
            </w:rPr>
            <w:fldChar w:fldCharType="separate"/>
          </w:r>
          <w:r>
            <w:rPr>
              <w:rFonts w:hint="eastAsia" w:ascii="楷体" w:hAnsi="楷体" w:eastAsia="楷体" w:cs="楷体"/>
              <w:color w:val="000000" w:themeColor="text1"/>
              <w14:textFill>
                <w14:solidFill>
                  <w14:schemeClr w14:val="tx1"/>
                </w14:solidFill>
              </w14:textFill>
            </w:rPr>
            <w:t>16</w:t>
          </w:r>
          <w:r>
            <w:rPr>
              <w:rFonts w:hint="eastAsia" w:ascii="楷体" w:hAnsi="楷体" w:eastAsia="楷体" w:cs="楷体"/>
              <w:color w:val="000000" w:themeColor="text1"/>
              <w14:textFill>
                <w14:solidFill>
                  <w14:schemeClr w14:val="tx1"/>
                </w14:solidFill>
              </w14:textFill>
            </w:rPr>
            <w:fldChar w:fldCharType="end"/>
          </w:r>
          <w:r>
            <w:rPr>
              <w:rFonts w:hint="eastAsia" w:ascii="楷体" w:hAnsi="楷体" w:eastAsia="楷体" w:cs="楷体"/>
              <w:color w:val="000000" w:themeColor="text1"/>
              <w14:textFill>
                <w14:solidFill>
                  <w14:schemeClr w14:val="tx1"/>
                </w14:solidFill>
              </w14:textFill>
            </w:rPr>
            <w:fldChar w:fldCharType="end"/>
          </w:r>
        </w:p>
        <w:p>
          <w:pPr>
            <w:pStyle w:val="12"/>
            <w:tabs>
              <w:tab w:val="right" w:leader="dot" w:pos="8306"/>
            </w:tabs>
            <w:rPr>
              <w:rFonts w:ascii="楷体" w:hAnsi="楷体" w:eastAsia="楷体" w:cs="楷体"/>
              <w:color w:val="000000" w:themeColor="text1"/>
              <w14:textFill>
                <w14:solidFill>
                  <w14:schemeClr w14:val="tx1"/>
                </w14:solidFill>
              </w14:textFill>
            </w:rPr>
          </w:pPr>
          <w:r>
            <w:fldChar w:fldCharType="begin"/>
          </w:r>
          <w:r>
            <w:instrText xml:space="preserve"> HYPERLINK \l "_Toc22004" </w:instrText>
          </w:r>
          <w:r>
            <w:fldChar w:fldCharType="separate"/>
          </w:r>
          <w:r>
            <w:rPr>
              <w:rFonts w:hint="eastAsia" w:ascii="楷体" w:hAnsi="楷体" w:eastAsia="楷体" w:cs="楷体"/>
              <w:color w:val="000000" w:themeColor="text1"/>
              <w14:textFill>
                <w14:solidFill>
                  <w14:schemeClr w14:val="tx1"/>
                </w14:solidFill>
              </w14:textFill>
            </w:rPr>
            <w:t>二、机遇和挑战</w:t>
          </w:r>
          <w:r>
            <w:rPr>
              <w:rFonts w:hint="eastAsia" w:ascii="楷体" w:hAnsi="楷体" w:eastAsia="楷体" w:cs="楷体"/>
              <w:color w:val="000000" w:themeColor="text1"/>
              <w14:textFill>
                <w14:solidFill>
                  <w14:schemeClr w14:val="tx1"/>
                </w14:solidFill>
              </w14:textFill>
            </w:rPr>
            <w:tab/>
          </w:r>
          <w:r>
            <w:rPr>
              <w:rFonts w:hint="eastAsia" w:ascii="楷体" w:hAnsi="楷体" w:eastAsia="楷体" w:cs="楷体"/>
              <w:color w:val="000000" w:themeColor="text1"/>
              <w14:textFill>
                <w14:solidFill>
                  <w14:schemeClr w14:val="tx1"/>
                </w14:solidFill>
              </w14:textFill>
            </w:rPr>
            <w:fldChar w:fldCharType="begin"/>
          </w:r>
          <w:r>
            <w:rPr>
              <w:rFonts w:hint="eastAsia" w:ascii="楷体" w:hAnsi="楷体" w:eastAsia="楷体" w:cs="楷体"/>
              <w:color w:val="000000" w:themeColor="text1"/>
              <w14:textFill>
                <w14:solidFill>
                  <w14:schemeClr w14:val="tx1"/>
                </w14:solidFill>
              </w14:textFill>
            </w:rPr>
            <w:instrText xml:space="preserve"> PAGEREF _Toc22004 \h </w:instrText>
          </w:r>
          <w:r>
            <w:rPr>
              <w:rFonts w:hint="eastAsia" w:ascii="楷体" w:hAnsi="楷体" w:eastAsia="楷体" w:cs="楷体"/>
              <w:color w:val="000000" w:themeColor="text1"/>
              <w14:textFill>
                <w14:solidFill>
                  <w14:schemeClr w14:val="tx1"/>
                </w14:solidFill>
              </w14:textFill>
            </w:rPr>
            <w:fldChar w:fldCharType="separate"/>
          </w:r>
          <w:r>
            <w:rPr>
              <w:rFonts w:hint="eastAsia" w:ascii="楷体" w:hAnsi="楷体" w:eastAsia="楷体" w:cs="楷体"/>
              <w:color w:val="000000" w:themeColor="text1"/>
              <w14:textFill>
                <w14:solidFill>
                  <w14:schemeClr w14:val="tx1"/>
                </w14:solidFill>
              </w14:textFill>
            </w:rPr>
            <w:t>16</w:t>
          </w:r>
          <w:r>
            <w:rPr>
              <w:rFonts w:hint="eastAsia" w:ascii="楷体" w:hAnsi="楷体" w:eastAsia="楷体" w:cs="楷体"/>
              <w:color w:val="000000" w:themeColor="text1"/>
              <w14:textFill>
                <w14:solidFill>
                  <w14:schemeClr w14:val="tx1"/>
                </w14:solidFill>
              </w14:textFill>
            </w:rPr>
            <w:fldChar w:fldCharType="end"/>
          </w:r>
          <w:r>
            <w:rPr>
              <w:rFonts w:hint="eastAsia" w:ascii="楷体" w:hAnsi="楷体" w:eastAsia="楷体" w:cs="楷体"/>
              <w:color w:val="000000" w:themeColor="text1"/>
              <w14:textFill>
                <w14:solidFill>
                  <w14:schemeClr w14:val="tx1"/>
                </w14:solidFill>
              </w14:textFill>
            </w:rPr>
            <w:fldChar w:fldCharType="end"/>
          </w:r>
        </w:p>
        <w:p>
          <w:pPr>
            <w:pStyle w:val="12"/>
            <w:tabs>
              <w:tab w:val="right" w:leader="dot" w:pos="8306"/>
            </w:tabs>
            <w:rPr>
              <w:rFonts w:ascii="楷体" w:hAnsi="楷体" w:eastAsia="楷体" w:cs="楷体"/>
              <w:color w:val="000000" w:themeColor="text1"/>
              <w14:textFill>
                <w14:solidFill>
                  <w14:schemeClr w14:val="tx1"/>
                </w14:solidFill>
              </w14:textFill>
            </w:rPr>
          </w:pPr>
          <w:r>
            <w:fldChar w:fldCharType="begin"/>
          </w:r>
          <w:r>
            <w:instrText xml:space="preserve"> HYPERLINK \l "_Toc23457" </w:instrText>
          </w:r>
          <w:r>
            <w:fldChar w:fldCharType="separate"/>
          </w:r>
          <w:r>
            <w:rPr>
              <w:rFonts w:hint="eastAsia" w:ascii="楷体" w:hAnsi="楷体" w:eastAsia="楷体" w:cs="楷体"/>
              <w:color w:val="000000" w:themeColor="text1"/>
              <w14:textFill>
                <w14:solidFill>
                  <w14:schemeClr w14:val="tx1"/>
                </w14:solidFill>
              </w14:textFill>
            </w:rPr>
            <w:t>三、市场需求分析</w:t>
          </w:r>
          <w:r>
            <w:rPr>
              <w:rFonts w:hint="eastAsia" w:ascii="楷体" w:hAnsi="楷体" w:eastAsia="楷体" w:cs="楷体"/>
              <w:color w:val="000000" w:themeColor="text1"/>
              <w14:textFill>
                <w14:solidFill>
                  <w14:schemeClr w14:val="tx1"/>
                </w14:solidFill>
              </w14:textFill>
            </w:rPr>
            <w:tab/>
          </w:r>
          <w:r>
            <w:rPr>
              <w:rFonts w:hint="eastAsia" w:ascii="楷体" w:hAnsi="楷体" w:eastAsia="楷体" w:cs="楷体"/>
              <w:color w:val="000000" w:themeColor="text1"/>
              <w14:textFill>
                <w14:solidFill>
                  <w14:schemeClr w14:val="tx1"/>
                </w14:solidFill>
              </w14:textFill>
            </w:rPr>
            <w:fldChar w:fldCharType="begin"/>
          </w:r>
          <w:r>
            <w:rPr>
              <w:rFonts w:hint="eastAsia" w:ascii="楷体" w:hAnsi="楷体" w:eastAsia="楷体" w:cs="楷体"/>
              <w:color w:val="000000" w:themeColor="text1"/>
              <w14:textFill>
                <w14:solidFill>
                  <w14:schemeClr w14:val="tx1"/>
                </w14:solidFill>
              </w14:textFill>
            </w:rPr>
            <w:instrText xml:space="preserve"> PAGEREF _Toc23457 \h </w:instrText>
          </w:r>
          <w:r>
            <w:rPr>
              <w:rFonts w:hint="eastAsia" w:ascii="楷体" w:hAnsi="楷体" w:eastAsia="楷体" w:cs="楷体"/>
              <w:color w:val="000000" w:themeColor="text1"/>
              <w14:textFill>
                <w14:solidFill>
                  <w14:schemeClr w14:val="tx1"/>
                </w14:solidFill>
              </w14:textFill>
            </w:rPr>
            <w:fldChar w:fldCharType="separate"/>
          </w:r>
          <w:r>
            <w:rPr>
              <w:rFonts w:hint="eastAsia" w:ascii="楷体" w:hAnsi="楷体" w:eastAsia="楷体" w:cs="楷体"/>
              <w:color w:val="000000" w:themeColor="text1"/>
              <w14:textFill>
                <w14:solidFill>
                  <w14:schemeClr w14:val="tx1"/>
                </w14:solidFill>
              </w14:textFill>
            </w:rPr>
            <w:t>20</w:t>
          </w:r>
          <w:r>
            <w:rPr>
              <w:rFonts w:hint="eastAsia" w:ascii="楷体" w:hAnsi="楷体" w:eastAsia="楷体" w:cs="楷体"/>
              <w:color w:val="000000" w:themeColor="text1"/>
              <w14:textFill>
                <w14:solidFill>
                  <w14:schemeClr w14:val="tx1"/>
                </w14:solidFill>
              </w14:textFill>
            </w:rPr>
            <w:fldChar w:fldCharType="end"/>
          </w:r>
          <w:r>
            <w:rPr>
              <w:rFonts w:hint="eastAsia" w:ascii="楷体" w:hAnsi="楷体" w:eastAsia="楷体" w:cs="楷体"/>
              <w:color w:val="000000" w:themeColor="text1"/>
              <w14:textFill>
                <w14:solidFill>
                  <w14:schemeClr w14:val="tx1"/>
                </w14:solidFill>
              </w14:textFill>
            </w:rPr>
            <w:fldChar w:fldCharType="end"/>
          </w:r>
        </w:p>
        <w:p>
          <w:pPr>
            <w:pStyle w:val="11"/>
            <w:tabs>
              <w:tab w:val="right" w:leader="dot" w:pos="8306"/>
            </w:tabs>
            <w:rPr>
              <w:rFonts w:ascii="黑体" w:hAnsi="黑体" w:eastAsia="黑体" w:cs="黑体"/>
              <w:b w:val="0"/>
              <w:bCs/>
              <w:color w:val="000000" w:themeColor="text1"/>
              <w14:textFill>
                <w14:solidFill>
                  <w14:schemeClr w14:val="tx1"/>
                </w14:solidFill>
              </w14:textFill>
            </w:rPr>
          </w:pPr>
          <w:r>
            <w:fldChar w:fldCharType="begin"/>
          </w:r>
          <w:r>
            <w:instrText xml:space="preserve"> HYPERLINK \l "_Toc4071" </w:instrText>
          </w:r>
          <w:r>
            <w:fldChar w:fldCharType="separate"/>
          </w:r>
          <w:r>
            <w:rPr>
              <w:rFonts w:hint="eastAsia" w:ascii="黑体" w:hAnsi="黑体" w:eastAsia="黑体" w:cs="黑体"/>
              <w:b w:val="0"/>
              <w:bCs/>
              <w:color w:val="000000" w:themeColor="text1"/>
              <w:lang w:bidi="ar"/>
              <w14:textFill>
                <w14:solidFill>
                  <w14:schemeClr w14:val="tx1"/>
                </w14:solidFill>
              </w14:textFill>
            </w:rPr>
            <w:t>第三章  总体要求</w:t>
          </w:r>
          <w:r>
            <w:rPr>
              <w:rFonts w:hint="eastAsia" w:ascii="黑体" w:hAnsi="黑体" w:eastAsia="黑体" w:cs="黑体"/>
              <w:b w:val="0"/>
              <w:bCs/>
              <w:color w:val="000000" w:themeColor="text1"/>
              <w14:textFill>
                <w14:solidFill>
                  <w14:schemeClr w14:val="tx1"/>
                </w14:solidFill>
              </w14:textFill>
            </w:rPr>
            <w:tab/>
          </w:r>
          <w:r>
            <w:rPr>
              <w:rFonts w:hint="eastAsia" w:ascii="黑体" w:hAnsi="黑体" w:eastAsia="黑体" w:cs="黑体"/>
              <w:b w:val="0"/>
              <w:bCs/>
              <w:color w:val="000000" w:themeColor="text1"/>
              <w14:textFill>
                <w14:solidFill>
                  <w14:schemeClr w14:val="tx1"/>
                </w14:solidFill>
              </w14:textFill>
            </w:rPr>
            <w:fldChar w:fldCharType="begin"/>
          </w:r>
          <w:r>
            <w:rPr>
              <w:rFonts w:hint="eastAsia" w:ascii="黑体" w:hAnsi="黑体" w:eastAsia="黑体" w:cs="黑体"/>
              <w:b w:val="0"/>
              <w:bCs/>
              <w:color w:val="000000" w:themeColor="text1"/>
              <w14:textFill>
                <w14:solidFill>
                  <w14:schemeClr w14:val="tx1"/>
                </w14:solidFill>
              </w14:textFill>
            </w:rPr>
            <w:instrText xml:space="preserve"> PAGEREF _Toc4071 \h </w:instrText>
          </w:r>
          <w:r>
            <w:rPr>
              <w:rFonts w:hint="eastAsia" w:ascii="黑体" w:hAnsi="黑体" w:eastAsia="黑体" w:cs="黑体"/>
              <w:b w:val="0"/>
              <w:bCs/>
              <w:color w:val="000000" w:themeColor="text1"/>
              <w14:textFill>
                <w14:solidFill>
                  <w14:schemeClr w14:val="tx1"/>
                </w14:solidFill>
              </w14:textFill>
            </w:rPr>
            <w:fldChar w:fldCharType="separate"/>
          </w:r>
          <w:r>
            <w:rPr>
              <w:rFonts w:hint="eastAsia" w:ascii="黑体" w:hAnsi="黑体" w:eastAsia="黑体" w:cs="黑体"/>
              <w:b w:val="0"/>
              <w:bCs/>
              <w:color w:val="000000" w:themeColor="text1"/>
              <w14:textFill>
                <w14:solidFill>
                  <w14:schemeClr w14:val="tx1"/>
                </w14:solidFill>
              </w14:textFill>
            </w:rPr>
            <w:t>22</w:t>
          </w:r>
          <w:r>
            <w:rPr>
              <w:rFonts w:hint="eastAsia" w:ascii="黑体" w:hAnsi="黑体" w:eastAsia="黑体" w:cs="黑体"/>
              <w:b w:val="0"/>
              <w:bCs/>
              <w:color w:val="000000" w:themeColor="text1"/>
              <w14:textFill>
                <w14:solidFill>
                  <w14:schemeClr w14:val="tx1"/>
                </w14:solidFill>
              </w14:textFill>
            </w:rPr>
            <w:fldChar w:fldCharType="end"/>
          </w:r>
          <w:r>
            <w:rPr>
              <w:rFonts w:hint="eastAsia" w:ascii="黑体" w:hAnsi="黑体" w:eastAsia="黑体" w:cs="黑体"/>
              <w:b w:val="0"/>
              <w:bCs/>
              <w:color w:val="000000" w:themeColor="text1"/>
              <w14:textFill>
                <w14:solidFill>
                  <w14:schemeClr w14:val="tx1"/>
                </w14:solidFill>
              </w14:textFill>
            </w:rPr>
            <w:fldChar w:fldCharType="end"/>
          </w:r>
        </w:p>
        <w:p>
          <w:pPr>
            <w:pStyle w:val="12"/>
            <w:tabs>
              <w:tab w:val="right" w:leader="dot" w:pos="8306"/>
            </w:tabs>
            <w:rPr>
              <w:rFonts w:ascii="楷体" w:hAnsi="楷体" w:eastAsia="楷体" w:cs="楷体"/>
              <w:color w:val="000000" w:themeColor="text1"/>
              <w14:textFill>
                <w14:solidFill>
                  <w14:schemeClr w14:val="tx1"/>
                </w14:solidFill>
              </w14:textFill>
            </w:rPr>
          </w:pPr>
          <w:r>
            <w:fldChar w:fldCharType="begin"/>
          </w:r>
          <w:r>
            <w:instrText xml:space="preserve"> HYPERLINK \l "_Toc7264" </w:instrText>
          </w:r>
          <w:r>
            <w:fldChar w:fldCharType="separate"/>
          </w:r>
          <w:r>
            <w:rPr>
              <w:rFonts w:hint="eastAsia" w:ascii="楷体" w:hAnsi="楷体" w:eastAsia="楷体" w:cs="楷体"/>
              <w:color w:val="000000" w:themeColor="text1"/>
              <w14:textFill>
                <w14:solidFill>
                  <w14:schemeClr w14:val="tx1"/>
                </w14:solidFill>
              </w14:textFill>
            </w:rPr>
            <w:t>一、指导思想</w:t>
          </w:r>
          <w:r>
            <w:rPr>
              <w:rFonts w:hint="eastAsia" w:ascii="楷体" w:hAnsi="楷体" w:eastAsia="楷体" w:cs="楷体"/>
              <w:color w:val="000000" w:themeColor="text1"/>
              <w14:textFill>
                <w14:solidFill>
                  <w14:schemeClr w14:val="tx1"/>
                </w14:solidFill>
              </w14:textFill>
            </w:rPr>
            <w:tab/>
          </w:r>
          <w:r>
            <w:rPr>
              <w:rFonts w:hint="eastAsia" w:ascii="楷体" w:hAnsi="楷体" w:eastAsia="楷体" w:cs="楷体"/>
              <w:color w:val="000000" w:themeColor="text1"/>
              <w14:textFill>
                <w14:solidFill>
                  <w14:schemeClr w14:val="tx1"/>
                </w14:solidFill>
              </w14:textFill>
            </w:rPr>
            <w:fldChar w:fldCharType="begin"/>
          </w:r>
          <w:r>
            <w:rPr>
              <w:rFonts w:hint="eastAsia" w:ascii="楷体" w:hAnsi="楷体" w:eastAsia="楷体" w:cs="楷体"/>
              <w:color w:val="000000" w:themeColor="text1"/>
              <w14:textFill>
                <w14:solidFill>
                  <w14:schemeClr w14:val="tx1"/>
                </w14:solidFill>
              </w14:textFill>
            </w:rPr>
            <w:instrText xml:space="preserve"> PAGEREF _Toc7264 \h </w:instrText>
          </w:r>
          <w:r>
            <w:rPr>
              <w:rFonts w:hint="eastAsia" w:ascii="楷体" w:hAnsi="楷体" w:eastAsia="楷体" w:cs="楷体"/>
              <w:color w:val="000000" w:themeColor="text1"/>
              <w14:textFill>
                <w14:solidFill>
                  <w14:schemeClr w14:val="tx1"/>
                </w14:solidFill>
              </w14:textFill>
            </w:rPr>
            <w:fldChar w:fldCharType="separate"/>
          </w:r>
          <w:r>
            <w:rPr>
              <w:rFonts w:hint="eastAsia" w:ascii="楷体" w:hAnsi="楷体" w:eastAsia="楷体" w:cs="楷体"/>
              <w:color w:val="000000" w:themeColor="text1"/>
              <w14:textFill>
                <w14:solidFill>
                  <w14:schemeClr w14:val="tx1"/>
                </w14:solidFill>
              </w14:textFill>
            </w:rPr>
            <w:t>22</w:t>
          </w:r>
          <w:r>
            <w:rPr>
              <w:rFonts w:hint="eastAsia" w:ascii="楷体" w:hAnsi="楷体" w:eastAsia="楷体" w:cs="楷体"/>
              <w:color w:val="000000" w:themeColor="text1"/>
              <w14:textFill>
                <w14:solidFill>
                  <w14:schemeClr w14:val="tx1"/>
                </w14:solidFill>
              </w14:textFill>
            </w:rPr>
            <w:fldChar w:fldCharType="end"/>
          </w:r>
          <w:r>
            <w:rPr>
              <w:rFonts w:hint="eastAsia" w:ascii="楷体" w:hAnsi="楷体" w:eastAsia="楷体" w:cs="楷体"/>
              <w:color w:val="000000" w:themeColor="text1"/>
              <w14:textFill>
                <w14:solidFill>
                  <w14:schemeClr w14:val="tx1"/>
                </w14:solidFill>
              </w14:textFill>
            </w:rPr>
            <w:fldChar w:fldCharType="end"/>
          </w:r>
        </w:p>
        <w:p>
          <w:pPr>
            <w:pStyle w:val="12"/>
            <w:tabs>
              <w:tab w:val="right" w:leader="dot" w:pos="8306"/>
            </w:tabs>
            <w:rPr>
              <w:rFonts w:ascii="楷体" w:hAnsi="楷体" w:eastAsia="楷体" w:cs="楷体"/>
              <w:color w:val="000000" w:themeColor="text1"/>
              <w14:textFill>
                <w14:solidFill>
                  <w14:schemeClr w14:val="tx1"/>
                </w14:solidFill>
              </w14:textFill>
            </w:rPr>
          </w:pPr>
          <w:r>
            <w:fldChar w:fldCharType="begin"/>
          </w:r>
          <w:r>
            <w:instrText xml:space="preserve"> HYPERLINK \l "_Toc20358" </w:instrText>
          </w:r>
          <w:r>
            <w:fldChar w:fldCharType="separate"/>
          </w:r>
          <w:r>
            <w:rPr>
              <w:rFonts w:hint="eastAsia" w:ascii="楷体" w:hAnsi="楷体" w:eastAsia="楷体" w:cs="楷体"/>
              <w:color w:val="000000" w:themeColor="text1"/>
              <w14:textFill>
                <w14:solidFill>
                  <w14:schemeClr w14:val="tx1"/>
                </w14:solidFill>
              </w14:textFill>
            </w:rPr>
            <w:t>二、基本原则</w:t>
          </w:r>
          <w:r>
            <w:rPr>
              <w:rFonts w:hint="eastAsia" w:ascii="楷体" w:hAnsi="楷体" w:eastAsia="楷体" w:cs="楷体"/>
              <w:color w:val="000000" w:themeColor="text1"/>
              <w14:textFill>
                <w14:solidFill>
                  <w14:schemeClr w14:val="tx1"/>
                </w14:solidFill>
              </w14:textFill>
            </w:rPr>
            <w:tab/>
          </w:r>
          <w:r>
            <w:rPr>
              <w:rFonts w:hint="eastAsia" w:ascii="楷体" w:hAnsi="楷体" w:eastAsia="楷体" w:cs="楷体"/>
              <w:color w:val="000000" w:themeColor="text1"/>
              <w14:textFill>
                <w14:solidFill>
                  <w14:schemeClr w14:val="tx1"/>
                </w14:solidFill>
              </w14:textFill>
            </w:rPr>
            <w:fldChar w:fldCharType="begin"/>
          </w:r>
          <w:r>
            <w:rPr>
              <w:rFonts w:hint="eastAsia" w:ascii="楷体" w:hAnsi="楷体" w:eastAsia="楷体" w:cs="楷体"/>
              <w:color w:val="000000" w:themeColor="text1"/>
              <w14:textFill>
                <w14:solidFill>
                  <w14:schemeClr w14:val="tx1"/>
                </w14:solidFill>
              </w14:textFill>
            </w:rPr>
            <w:instrText xml:space="preserve"> PAGEREF _Toc20358 \h </w:instrText>
          </w:r>
          <w:r>
            <w:rPr>
              <w:rFonts w:hint="eastAsia" w:ascii="楷体" w:hAnsi="楷体" w:eastAsia="楷体" w:cs="楷体"/>
              <w:color w:val="000000" w:themeColor="text1"/>
              <w14:textFill>
                <w14:solidFill>
                  <w14:schemeClr w14:val="tx1"/>
                </w14:solidFill>
              </w14:textFill>
            </w:rPr>
            <w:fldChar w:fldCharType="separate"/>
          </w:r>
          <w:r>
            <w:rPr>
              <w:rFonts w:hint="eastAsia" w:ascii="楷体" w:hAnsi="楷体" w:eastAsia="楷体" w:cs="楷体"/>
              <w:color w:val="000000" w:themeColor="text1"/>
              <w14:textFill>
                <w14:solidFill>
                  <w14:schemeClr w14:val="tx1"/>
                </w14:solidFill>
              </w14:textFill>
            </w:rPr>
            <w:t>22</w:t>
          </w:r>
          <w:r>
            <w:rPr>
              <w:rFonts w:hint="eastAsia" w:ascii="楷体" w:hAnsi="楷体" w:eastAsia="楷体" w:cs="楷体"/>
              <w:color w:val="000000" w:themeColor="text1"/>
              <w14:textFill>
                <w14:solidFill>
                  <w14:schemeClr w14:val="tx1"/>
                </w14:solidFill>
              </w14:textFill>
            </w:rPr>
            <w:fldChar w:fldCharType="end"/>
          </w:r>
          <w:r>
            <w:rPr>
              <w:rFonts w:hint="eastAsia" w:ascii="楷体" w:hAnsi="楷体" w:eastAsia="楷体" w:cs="楷体"/>
              <w:color w:val="000000" w:themeColor="text1"/>
              <w14:textFill>
                <w14:solidFill>
                  <w14:schemeClr w14:val="tx1"/>
                </w14:solidFill>
              </w14:textFill>
            </w:rPr>
            <w:fldChar w:fldCharType="end"/>
          </w:r>
        </w:p>
        <w:p>
          <w:pPr>
            <w:pStyle w:val="12"/>
            <w:tabs>
              <w:tab w:val="right" w:leader="dot" w:pos="8306"/>
            </w:tabs>
            <w:rPr>
              <w:rFonts w:ascii="楷体" w:hAnsi="楷体" w:eastAsia="楷体" w:cs="楷体"/>
              <w:color w:val="000000" w:themeColor="text1"/>
              <w14:textFill>
                <w14:solidFill>
                  <w14:schemeClr w14:val="tx1"/>
                </w14:solidFill>
              </w14:textFill>
            </w:rPr>
          </w:pPr>
          <w:r>
            <w:fldChar w:fldCharType="begin"/>
          </w:r>
          <w:r>
            <w:instrText xml:space="preserve"> HYPERLINK \l "_Toc28435" </w:instrText>
          </w:r>
          <w:r>
            <w:fldChar w:fldCharType="separate"/>
          </w:r>
          <w:r>
            <w:rPr>
              <w:rFonts w:hint="eastAsia" w:ascii="楷体" w:hAnsi="楷体" w:eastAsia="楷体" w:cs="楷体"/>
              <w:color w:val="000000" w:themeColor="text1"/>
              <w14:textFill>
                <w14:solidFill>
                  <w14:schemeClr w14:val="tx1"/>
                </w14:solidFill>
              </w14:textFill>
            </w:rPr>
            <w:t>三、发展目标</w:t>
          </w:r>
          <w:r>
            <w:rPr>
              <w:rFonts w:hint="eastAsia" w:ascii="楷体" w:hAnsi="楷体" w:eastAsia="楷体" w:cs="楷体"/>
              <w:color w:val="000000" w:themeColor="text1"/>
              <w14:textFill>
                <w14:solidFill>
                  <w14:schemeClr w14:val="tx1"/>
                </w14:solidFill>
              </w14:textFill>
            </w:rPr>
            <w:tab/>
          </w:r>
          <w:r>
            <w:rPr>
              <w:rFonts w:hint="eastAsia" w:ascii="楷体" w:hAnsi="楷体" w:eastAsia="楷体" w:cs="楷体"/>
              <w:color w:val="000000" w:themeColor="text1"/>
              <w14:textFill>
                <w14:solidFill>
                  <w14:schemeClr w14:val="tx1"/>
                </w14:solidFill>
              </w14:textFill>
            </w:rPr>
            <w:fldChar w:fldCharType="begin"/>
          </w:r>
          <w:r>
            <w:rPr>
              <w:rFonts w:hint="eastAsia" w:ascii="楷体" w:hAnsi="楷体" w:eastAsia="楷体" w:cs="楷体"/>
              <w:color w:val="000000" w:themeColor="text1"/>
              <w14:textFill>
                <w14:solidFill>
                  <w14:schemeClr w14:val="tx1"/>
                </w14:solidFill>
              </w14:textFill>
            </w:rPr>
            <w:instrText xml:space="preserve"> PAGEREF _Toc28435 \h </w:instrText>
          </w:r>
          <w:r>
            <w:rPr>
              <w:rFonts w:hint="eastAsia" w:ascii="楷体" w:hAnsi="楷体" w:eastAsia="楷体" w:cs="楷体"/>
              <w:color w:val="000000" w:themeColor="text1"/>
              <w14:textFill>
                <w14:solidFill>
                  <w14:schemeClr w14:val="tx1"/>
                </w14:solidFill>
              </w14:textFill>
            </w:rPr>
            <w:fldChar w:fldCharType="separate"/>
          </w:r>
          <w:r>
            <w:rPr>
              <w:rFonts w:hint="eastAsia" w:ascii="楷体" w:hAnsi="楷体" w:eastAsia="楷体" w:cs="楷体"/>
              <w:color w:val="000000" w:themeColor="text1"/>
              <w14:textFill>
                <w14:solidFill>
                  <w14:schemeClr w14:val="tx1"/>
                </w14:solidFill>
              </w14:textFill>
            </w:rPr>
            <w:t>23</w:t>
          </w:r>
          <w:r>
            <w:rPr>
              <w:rFonts w:hint="eastAsia" w:ascii="楷体" w:hAnsi="楷体" w:eastAsia="楷体" w:cs="楷体"/>
              <w:color w:val="000000" w:themeColor="text1"/>
              <w14:textFill>
                <w14:solidFill>
                  <w14:schemeClr w14:val="tx1"/>
                </w14:solidFill>
              </w14:textFill>
            </w:rPr>
            <w:fldChar w:fldCharType="end"/>
          </w:r>
          <w:r>
            <w:rPr>
              <w:rFonts w:hint="eastAsia" w:ascii="楷体" w:hAnsi="楷体" w:eastAsia="楷体" w:cs="楷体"/>
              <w:color w:val="000000" w:themeColor="text1"/>
              <w14:textFill>
                <w14:solidFill>
                  <w14:schemeClr w14:val="tx1"/>
                </w14:solidFill>
              </w14:textFill>
            </w:rPr>
            <w:fldChar w:fldCharType="end"/>
          </w:r>
        </w:p>
        <w:p>
          <w:pPr>
            <w:pStyle w:val="11"/>
            <w:tabs>
              <w:tab w:val="right" w:leader="dot" w:pos="8306"/>
            </w:tabs>
            <w:rPr>
              <w:rFonts w:ascii="黑体" w:hAnsi="黑体" w:eastAsia="黑体" w:cs="黑体"/>
              <w:b w:val="0"/>
              <w:bCs/>
              <w:color w:val="000000" w:themeColor="text1"/>
              <w14:textFill>
                <w14:solidFill>
                  <w14:schemeClr w14:val="tx1"/>
                </w14:solidFill>
              </w14:textFill>
            </w:rPr>
          </w:pPr>
          <w:r>
            <w:fldChar w:fldCharType="begin"/>
          </w:r>
          <w:r>
            <w:instrText xml:space="preserve"> HYPERLINK \l "_Toc23907" </w:instrText>
          </w:r>
          <w:r>
            <w:fldChar w:fldCharType="separate"/>
          </w:r>
          <w:r>
            <w:rPr>
              <w:rFonts w:hint="eastAsia" w:ascii="黑体" w:hAnsi="黑体" w:eastAsia="黑体" w:cs="黑体"/>
              <w:b w:val="0"/>
              <w:bCs/>
              <w:color w:val="000000" w:themeColor="text1"/>
              <w:lang w:bidi="ar"/>
              <w14:textFill>
                <w14:solidFill>
                  <w14:schemeClr w14:val="tx1"/>
                </w14:solidFill>
              </w14:textFill>
            </w:rPr>
            <w:t>第四章  规范条件与布局规划</w:t>
          </w:r>
          <w:r>
            <w:rPr>
              <w:rFonts w:hint="eastAsia" w:ascii="黑体" w:hAnsi="黑体" w:eastAsia="黑体" w:cs="黑体"/>
              <w:b w:val="0"/>
              <w:bCs/>
              <w:color w:val="000000" w:themeColor="text1"/>
              <w14:textFill>
                <w14:solidFill>
                  <w14:schemeClr w14:val="tx1"/>
                </w14:solidFill>
              </w14:textFill>
            </w:rPr>
            <w:tab/>
          </w:r>
          <w:r>
            <w:rPr>
              <w:rFonts w:hint="eastAsia" w:ascii="黑体" w:hAnsi="黑体" w:eastAsia="黑体" w:cs="黑体"/>
              <w:b w:val="0"/>
              <w:bCs/>
              <w:color w:val="000000" w:themeColor="text1"/>
              <w14:textFill>
                <w14:solidFill>
                  <w14:schemeClr w14:val="tx1"/>
                </w14:solidFill>
              </w14:textFill>
            </w:rPr>
            <w:fldChar w:fldCharType="begin"/>
          </w:r>
          <w:r>
            <w:rPr>
              <w:rFonts w:hint="eastAsia" w:ascii="黑体" w:hAnsi="黑体" w:eastAsia="黑体" w:cs="黑体"/>
              <w:b w:val="0"/>
              <w:bCs/>
              <w:color w:val="000000" w:themeColor="text1"/>
              <w14:textFill>
                <w14:solidFill>
                  <w14:schemeClr w14:val="tx1"/>
                </w14:solidFill>
              </w14:textFill>
            </w:rPr>
            <w:instrText xml:space="preserve"> PAGEREF _Toc23907 \h </w:instrText>
          </w:r>
          <w:r>
            <w:rPr>
              <w:rFonts w:hint="eastAsia" w:ascii="黑体" w:hAnsi="黑体" w:eastAsia="黑体" w:cs="黑体"/>
              <w:b w:val="0"/>
              <w:bCs/>
              <w:color w:val="000000" w:themeColor="text1"/>
              <w14:textFill>
                <w14:solidFill>
                  <w14:schemeClr w14:val="tx1"/>
                </w14:solidFill>
              </w14:textFill>
            </w:rPr>
            <w:fldChar w:fldCharType="separate"/>
          </w:r>
          <w:r>
            <w:rPr>
              <w:rFonts w:hint="eastAsia" w:ascii="黑体" w:hAnsi="黑体" w:eastAsia="黑体" w:cs="黑体"/>
              <w:b w:val="0"/>
              <w:bCs/>
              <w:color w:val="000000" w:themeColor="text1"/>
              <w14:textFill>
                <w14:solidFill>
                  <w14:schemeClr w14:val="tx1"/>
                </w14:solidFill>
              </w14:textFill>
            </w:rPr>
            <w:t>28</w:t>
          </w:r>
          <w:r>
            <w:rPr>
              <w:rFonts w:hint="eastAsia" w:ascii="黑体" w:hAnsi="黑体" w:eastAsia="黑体" w:cs="黑体"/>
              <w:b w:val="0"/>
              <w:bCs/>
              <w:color w:val="000000" w:themeColor="text1"/>
              <w14:textFill>
                <w14:solidFill>
                  <w14:schemeClr w14:val="tx1"/>
                </w14:solidFill>
              </w14:textFill>
            </w:rPr>
            <w:fldChar w:fldCharType="end"/>
          </w:r>
          <w:r>
            <w:rPr>
              <w:rFonts w:hint="eastAsia" w:ascii="黑体" w:hAnsi="黑体" w:eastAsia="黑体" w:cs="黑体"/>
              <w:b w:val="0"/>
              <w:bCs/>
              <w:color w:val="000000" w:themeColor="text1"/>
              <w14:textFill>
                <w14:solidFill>
                  <w14:schemeClr w14:val="tx1"/>
                </w14:solidFill>
              </w14:textFill>
            </w:rPr>
            <w:fldChar w:fldCharType="end"/>
          </w:r>
        </w:p>
        <w:p>
          <w:pPr>
            <w:pStyle w:val="12"/>
            <w:tabs>
              <w:tab w:val="right" w:leader="dot" w:pos="8306"/>
            </w:tabs>
            <w:rPr>
              <w:rFonts w:ascii="楷体" w:hAnsi="楷体" w:eastAsia="楷体" w:cs="楷体"/>
              <w:color w:val="000000" w:themeColor="text1"/>
              <w14:textFill>
                <w14:solidFill>
                  <w14:schemeClr w14:val="tx1"/>
                </w14:solidFill>
              </w14:textFill>
            </w:rPr>
          </w:pPr>
          <w:r>
            <w:fldChar w:fldCharType="begin"/>
          </w:r>
          <w:r>
            <w:instrText xml:space="preserve"> HYPERLINK \l "_Toc954" </w:instrText>
          </w:r>
          <w:r>
            <w:fldChar w:fldCharType="separate"/>
          </w:r>
          <w:r>
            <w:rPr>
              <w:rFonts w:hint="eastAsia" w:ascii="楷体" w:hAnsi="楷体" w:eastAsia="楷体" w:cs="楷体"/>
              <w:color w:val="000000" w:themeColor="text1"/>
              <w:lang w:bidi="ar"/>
              <w14:textFill>
                <w14:solidFill>
                  <w14:schemeClr w14:val="tx1"/>
                </w14:solidFill>
              </w14:textFill>
            </w:rPr>
            <w:t>一、行业规范条件</w:t>
          </w:r>
          <w:r>
            <w:rPr>
              <w:rFonts w:hint="eastAsia" w:ascii="楷体" w:hAnsi="楷体" w:eastAsia="楷体" w:cs="楷体"/>
              <w:color w:val="000000" w:themeColor="text1"/>
              <w14:textFill>
                <w14:solidFill>
                  <w14:schemeClr w14:val="tx1"/>
                </w14:solidFill>
              </w14:textFill>
            </w:rPr>
            <w:tab/>
          </w:r>
          <w:r>
            <w:rPr>
              <w:rFonts w:hint="eastAsia" w:ascii="楷体" w:hAnsi="楷体" w:eastAsia="楷体" w:cs="楷体"/>
              <w:color w:val="000000" w:themeColor="text1"/>
              <w14:textFill>
                <w14:solidFill>
                  <w14:schemeClr w14:val="tx1"/>
                </w14:solidFill>
              </w14:textFill>
            </w:rPr>
            <w:fldChar w:fldCharType="begin"/>
          </w:r>
          <w:r>
            <w:rPr>
              <w:rFonts w:hint="eastAsia" w:ascii="楷体" w:hAnsi="楷体" w:eastAsia="楷体" w:cs="楷体"/>
              <w:color w:val="000000" w:themeColor="text1"/>
              <w14:textFill>
                <w14:solidFill>
                  <w14:schemeClr w14:val="tx1"/>
                </w14:solidFill>
              </w14:textFill>
            </w:rPr>
            <w:instrText xml:space="preserve"> PAGEREF _Toc954 \h </w:instrText>
          </w:r>
          <w:r>
            <w:rPr>
              <w:rFonts w:hint="eastAsia" w:ascii="楷体" w:hAnsi="楷体" w:eastAsia="楷体" w:cs="楷体"/>
              <w:color w:val="000000" w:themeColor="text1"/>
              <w14:textFill>
                <w14:solidFill>
                  <w14:schemeClr w14:val="tx1"/>
                </w14:solidFill>
              </w14:textFill>
            </w:rPr>
            <w:fldChar w:fldCharType="separate"/>
          </w:r>
          <w:r>
            <w:rPr>
              <w:rFonts w:hint="eastAsia" w:ascii="楷体" w:hAnsi="楷体" w:eastAsia="楷体" w:cs="楷体"/>
              <w:color w:val="000000" w:themeColor="text1"/>
              <w14:textFill>
                <w14:solidFill>
                  <w14:schemeClr w14:val="tx1"/>
                </w14:solidFill>
              </w14:textFill>
            </w:rPr>
            <w:t>28</w:t>
          </w:r>
          <w:r>
            <w:rPr>
              <w:rFonts w:hint="eastAsia" w:ascii="楷体" w:hAnsi="楷体" w:eastAsia="楷体" w:cs="楷体"/>
              <w:color w:val="000000" w:themeColor="text1"/>
              <w14:textFill>
                <w14:solidFill>
                  <w14:schemeClr w14:val="tx1"/>
                </w14:solidFill>
              </w14:textFill>
            </w:rPr>
            <w:fldChar w:fldCharType="end"/>
          </w:r>
          <w:r>
            <w:rPr>
              <w:rFonts w:hint="eastAsia" w:ascii="楷体" w:hAnsi="楷体" w:eastAsia="楷体" w:cs="楷体"/>
              <w:color w:val="000000" w:themeColor="text1"/>
              <w14:textFill>
                <w14:solidFill>
                  <w14:schemeClr w14:val="tx1"/>
                </w14:solidFill>
              </w14:textFill>
            </w:rPr>
            <w:fldChar w:fldCharType="end"/>
          </w:r>
        </w:p>
        <w:p>
          <w:pPr>
            <w:pStyle w:val="12"/>
            <w:tabs>
              <w:tab w:val="right" w:leader="dot" w:pos="8306"/>
            </w:tabs>
            <w:rPr>
              <w:rFonts w:ascii="楷体" w:hAnsi="楷体" w:eastAsia="楷体" w:cs="楷体"/>
              <w:color w:val="000000" w:themeColor="text1"/>
              <w14:textFill>
                <w14:solidFill>
                  <w14:schemeClr w14:val="tx1"/>
                </w14:solidFill>
              </w14:textFill>
            </w:rPr>
          </w:pPr>
          <w:r>
            <w:fldChar w:fldCharType="begin"/>
          </w:r>
          <w:r>
            <w:instrText xml:space="preserve"> HYPERLINK \l "_Toc4462" </w:instrText>
          </w:r>
          <w:r>
            <w:fldChar w:fldCharType="separate"/>
          </w:r>
          <w:r>
            <w:rPr>
              <w:rFonts w:hint="eastAsia" w:ascii="楷体" w:hAnsi="楷体" w:eastAsia="楷体" w:cs="楷体"/>
              <w:color w:val="000000" w:themeColor="text1"/>
              <w:lang w:bidi="ar"/>
              <w14:textFill>
                <w14:solidFill>
                  <w14:schemeClr w14:val="tx1"/>
                </w14:solidFill>
              </w14:textFill>
            </w:rPr>
            <w:t>二、预拌混凝土布局规划</w:t>
          </w:r>
          <w:r>
            <w:rPr>
              <w:rFonts w:hint="eastAsia" w:ascii="楷体" w:hAnsi="楷体" w:eastAsia="楷体" w:cs="楷体"/>
              <w:color w:val="000000" w:themeColor="text1"/>
              <w14:textFill>
                <w14:solidFill>
                  <w14:schemeClr w14:val="tx1"/>
                </w14:solidFill>
              </w14:textFill>
            </w:rPr>
            <w:tab/>
          </w:r>
          <w:r>
            <w:rPr>
              <w:rFonts w:hint="eastAsia" w:ascii="楷体" w:hAnsi="楷体" w:eastAsia="楷体" w:cs="楷体"/>
              <w:color w:val="000000" w:themeColor="text1"/>
              <w14:textFill>
                <w14:solidFill>
                  <w14:schemeClr w14:val="tx1"/>
                </w14:solidFill>
              </w14:textFill>
            </w:rPr>
            <w:fldChar w:fldCharType="begin"/>
          </w:r>
          <w:r>
            <w:rPr>
              <w:rFonts w:hint="eastAsia" w:ascii="楷体" w:hAnsi="楷体" w:eastAsia="楷体" w:cs="楷体"/>
              <w:color w:val="000000" w:themeColor="text1"/>
              <w14:textFill>
                <w14:solidFill>
                  <w14:schemeClr w14:val="tx1"/>
                </w14:solidFill>
              </w14:textFill>
            </w:rPr>
            <w:instrText xml:space="preserve"> PAGEREF _Toc4462 \h </w:instrText>
          </w:r>
          <w:r>
            <w:rPr>
              <w:rFonts w:hint="eastAsia" w:ascii="楷体" w:hAnsi="楷体" w:eastAsia="楷体" w:cs="楷体"/>
              <w:color w:val="000000" w:themeColor="text1"/>
              <w14:textFill>
                <w14:solidFill>
                  <w14:schemeClr w14:val="tx1"/>
                </w14:solidFill>
              </w14:textFill>
            </w:rPr>
            <w:fldChar w:fldCharType="separate"/>
          </w:r>
          <w:r>
            <w:rPr>
              <w:rFonts w:hint="eastAsia" w:ascii="楷体" w:hAnsi="楷体" w:eastAsia="楷体" w:cs="楷体"/>
              <w:color w:val="000000" w:themeColor="text1"/>
              <w14:textFill>
                <w14:solidFill>
                  <w14:schemeClr w14:val="tx1"/>
                </w14:solidFill>
              </w14:textFill>
            </w:rPr>
            <w:t>32</w:t>
          </w:r>
          <w:r>
            <w:rPr>
              <w:rFonts w:hint="eastAsia" w:ascii="楷体" w:hAnsi="楷体" w:eastAsia="楷体" w:cs="楷体"/>
              <w:color w:val="000000" w:themeColor="text1"/>
              <w14:textFill>
                <w14:solidFill>
                  <w14:schemeClr w14:val="tx1"/>
                </w14:solidFill>
              </w14:textFill>
            </w:rPr>
            <w:fldChar w:fldCharType="end"/>
          </w:r>
          <w:r>
            <w:rPr>
              <w:rFonts w:hint="eastAsia" w:ascii="楷体" w:hAnsi="楷体" w:eastAsia="楷体" w:cs="楷体"/>
              <w:color w:val="000000" w:themeColor="text1"/>
              <w14:textFill>
                <w14:solidFill>
                  <w14:schemeClr w14:val="tx1"/>
                </w14:solidFill>
              </w14:textFill>
            </w:rPr>
            <w:fldChar w:fldCharType="end"/>
          </w:r>
        </w:p>
        <w:p>
          <w:pPr>
            <w:pStyle w:val="12"/>
            <w:tabs>
              <w:tab w:val="right" w:leader="dot" w:pos="8306"/>
            </w:tabs>
            <w:rPr>
              <w:rFonts w:ascii="楷体" w:hAnsi="楷体" w:eastAsia="楷体" w:cs="楷体"/>
              <w:color w:val="000000" w:themeColor="text1"/>
              <w14:textFill>
                <w14:solidFill>
                  <w14:schemeClr w14:val="tx1"/>
                </w14:solidFill>
              </w14:textFill>
            </w:rPr>
          </w:pPr>
          <w:r>
            <w:fldChar w:fldCharType="begin"/>
          </w:r>
          <w:r>
            <w:instrText xml:space="preserve"> HYPERLINK \l "_Toc24675" </w:instrText>
          </w:r>
          <w:r>
            <w:fldChar w:fldCharType="separate"/>
          </w:r>
          <w:r>
            <w:rPr>
              <w:rFonts w:hint="eastAsia" w:ascii="楷体" w:hAnsi="楷体" w:eastAsia="楷体" w:cs="楷体"/>
              <w:color w:val="000000" w:themeColor="text1"/>
              <w:lang w:bidi="ar"/>
              <w14:textFill>
                <w14:solidFill>
                  <w14:schemeClr w14:val="tx1"/>
                </w14:solidFill>
              </w14:textFill>
            </w:rPr>
            <w:t>三、预拌砂浆布局规划</w:t>
          </w:r>
          <w:r>
            <w:rPr>
              <w:rFonts w:hint="eastAsia" w:ascii="楷体" w:hAnsi="楷体" w:eastAsia="楷体" w:cs="楷体"/>
              <w:color w:val="000000" w:themeColor="text1"/>
              <w14:textFill>
                <w14:solidFill>
                  <w14:schemeClr w14:val="tx1"/>
                </w14:solidFill>
              </w14:textFill>
            </w:rPr>
            <w:tab/>
          </w:r>
          <w:r>
            <w:rPr>
              <w:rFonts w:hint="eastAsia" w:ascii="楷体" w:hAnsi="楷体" w:eastAsia="楷体" w:cs="楷体"/>
              <w:color w:val="000000" w:themeColor="text1"/>
              <w14:textFill>
                <w14:solidFill>
                  <w14:schemeClr w14:val="tx1"/>
                </w14:solidFill>
              </w14:textFill>
            </w:rPr>
            <w:fldChar w:fldCharType="begin"/>
          </w:r>
          <w:r>
            <w:rPr>
              <w:rFonts w:hint="eastAsia" w:ascii="楷体" w:hAnsi="楷体" w:eastAsia="楷体" w:cs="楷体"/>
              <w:color w:val="000000" w:themeColor="text1"/>
              <w14:textFill>
                <w14:solidFill>
                  <w14:schemeClr w14:val="tx1"/>
                </w14:solidFill>
              </w14:textFill>
            </w:rPr>
            <w:instrText xml:space="preserve"> PAGEREF _Toc24675 \h </w:instrText>
          </w:r>
          <w:r>
            <w:rPr>
              <w:rFonts w:hint="eastAsia" w:ascii="楷体" w:hAnsi="楷体" w:eastAsia="楷体" w:cs="楷体"/>
              <w:color w:val="000000" w:themeColor="text1"/>
              <w14:textFill>
                <w14:solidFill>
                  <w14:schemeClr w14:val="tx1"/>
                </w14:solidFill>
              </w14:textFill>
            </w:rPr>
            <w:fldChar w:fldCharType="separate"/>
          </w:r>
          <w:r>
            <w:rPr>
              <w:rFonts w:hint="eastAsia" w:ascii="楷体" w:hAnsi="楷体" w:eastAsia="楷体" w:cs="楷体"/>
              <w:color w:val="000000" w:themeColor="text1"/>
              <w14:textFill>
                <w14:solidFill>
                  <w14:schemeClr w14:val="tx1"/>
                </w14:solidFill>
              </w14:textFill>
            </w:rPr>
            <w:t>37</w:t>
          </w:r>
          <w:r>
            <w:rPr>
              <w:rFonts w:hint="eastAsia" w:ascii="楷体" w:hAnsi="楷体" w:eastAsia="楷体" w:cs="楷体"/>
              <w:color w:val="000000" w:themeColor="text1"/>
              <w14:textFill>
                <w14:solidFill>
                  <w14:schemeClr w14:val="tx1"/>
                </w14:solidFill>
              </w14:textFill>
            </w:rPr>
            <w:fldChar w:fldCharType="end"/>
          </w:r>
          <w:r>
            <w:rPr>
              <w:rFonts w:hint="eastAsia" w:ascii="楷体" w:hAnsi="楷体" w:eastAsia="楷体" w:cs="楷体"/>
              <w:color w:val="000000" w:themeColor="text1"/>
              <w14:textFill>
                <w14:solidFill>
                  <w14:schemeClr w14:val="tx1"/>
                </w14:solidFill>
              </w14:textFill>
            </w:rPr>
            <w:fldChar w:fldCharType="end"/>
          </w:r>
        </w:p>
        <w:p>
          <w:pPr>
            <w:pStyle w:val="11"/>
            <w:tabs>
              <w:tab w:val="right" w:leader="dot" w:pos="8306"/>
            </w:tabs>
            <w:rPr>
              <w:rFonts w:ascii="黑体" w:hAnsi="黑体" w:eastAsia="黑体" w:cs="黑体"/>
              <w:b w:val="0"/>
              <w:bCs/>
              <w:color w:val="000000" w:themeColor="text1"/>
              <w14:textFill>
                <w14:solidFill>
                  <w14:schemeClr w14:val="tx1"/>
                </w14:solidFill>
              </w14:textFill>
            </w:rPr>
          </w:pPr>
          <w:r>
            <w:fldChar w:fldCharType="begin"/>
          </w:r>
          <w:r>
            <w:instrText xml:space="preserve"> HYPERLINK \l "_Toc26564" </w:instrText>
          </w:r>
          <w:r>
            <w:fldChar w:fldCharType="separate"/>
          </w:r>
          <w:r>
            <w:rPr>
              <w:rFonts w:hint="eastAsia" w:ascii="黑体" w:hAnsi="黑体" w:eastAsia="黑体" w:cs="黑体"/>
              <w:b w:val="0"/>
              <w:bCs/>
              <w:color w:val="000000" w:themeColor="text1"/>
              <w:lang w:bidi="ar"/>
              <w14:textFill>
                <w14:solidFill>
                  <w14:schemeClr w14:val="tx1"/>
                </w14:solidFill>
              </w14:textFill>
            </w:rPr>
            <w:t>第五章  重点任务</w:t>
          </w:r>
          <w:r>
            <w:rPr>
              <w:rFonts w:hint="eastAsia" w:ascii="黑体" w:hAnsi="黑体" w:eastAsia="黑体" w:cs="黑体"/>
              <w:b w:val="0"/>
              <w:bCs/>
              <w:color w:val="000000" w:themeColor="text1"/>
              <w14:textFill>
                <w14:solidFill>
                  <w14:schemeClr w14:val="tx1"/>
                </w14:solidFill>
              </w14:textFill>
            </w:rPr>
            <w:tab/>
          </w:r>
          <w:r>
            <w:rPr>
              <w:rFonts w:hint="eastAsia" w:ascii="黑体" w:hAnsi="黑体" w:eastAsia="黑体" w:cs="黑体"/>
              <w:b w:val="0"/>
              <w:bCs/>
              <w:color w:val="000000" w:themeColor="text1"/>
              <w14:textFill>
                <w14:solidFill>
                  <w14:schemeClr w14:val="tx1"/>
                </w14:solidFill>
              </w14:textFill>
            </w:rPr>
            <w:fldChar w:fldCharType="begin"/>
          </w:r>
          <w:r>
            <w:rPr>
              <w:rFonts w:hint="eastAsia" w:ascii="黑体" w:hAnsi="黑体" w:eastAsia="黑体" w:cs="黑体"/>
              <w:b w:val="0"/>
              <w:bCs/>
              <w:color w:val="000000" w:themeColor="text1"/>
              <w14:textFill>
                <w14:solidFill>
                  <w14:schemeClr w14:val="tx1"/>
                </w14:solidFill>
              </w14:textFill>
            </w:rPr>
            <w:instrText xml:space="preserve"> PAGEREF _Toc26564 \h </w:instrText>
          </w:r>
          <w:r>
            <w:rPr>
              <w:rFonts w:hint="eastAsia" w:ascii="黑体" w:hAnsi="黑体" w:eastAsia="黑体" w:cs="黑体"/>
              <w:b w:val="0"/>
              <w:bCs/>
              <w:color w:val="000000" w:themeColor="text1"/>
              <w14:textFill>
                <w14:solidFill>
                  <w14:schemeClr w14:val="tx1"/>
                </w14:solidFill>
              </w14:textFill>
            </w:rPr>
            <w:fldChar w:fldCharType="separate"/>
          </w:r>
          <w:r>
            <w:rPr>
              <w:rFonts w:hint="eastAsia" w:ascii="黑体" w:hAnsi="黑体" w:eastAsia="黑体" w:cs="黑体"/>
              <w:b w:val="0"/>
              <w:bCs/>
              <w:color w:val="000000" w:themeColor="text1"/>
              <w14:textFill>
                <w14:solidFill>
                  <w14:schemeClr w14:val="tx1"/>
                </w14:solidFill>
              </w14:textFill>
            </w:rPr>
            <w:t>39</w:t>
          </w:r>
          <w:r>
            <w:rPr>
              <w:rFonts w:hint="eastAsia" w:ascii="黑体" w:hAnsi="黑体" w:eastAsia="黑体" w:cs="黑体"/>
              <w:b w:val="0"/>
              <w:bCs/>
              <w:color w:val="000000" w:themeColor="text1"/>
              <w14:textFill>
                <w14:solidFill>
                  <w14:schemeClr w14:val="tx1"/>
                </w14:solidFill>
              </w14:textFill>
            </w:rPr>
            <w:fldChar w:fldCharType="end"/>
          </w:r>
          <w:r>
            <w:rPr>
              <w:rFonts w:hint="eastAsia" w:ascii="黑体" w:hAnsi="黑体" w:eastAsia="黑体" w:cs="黑体"/>
              <w:b w:val="0"/>
              <w:bCs/>
              <w:color w:val="000000" w:themeColor="text1"/>
              <w14:textFill>
                <w14:solidFill>
                  <w14:schemeClr w14:val="tx1"/>
                </w14:solidFill>
              </w14:textFill>
            </w:rPr>
            <w:fldChar w:fldCharType="end"/>
          </w:r>
        </w:p>
        <w:p>
          <w:pPr>
            <w:pStyle w:val="12"/>
            <w:tabs>
              <w:tab w:val="right" w:leader="dot" w:pos="8306"/>
            </w:tabs>
            <w:rPr>
              <w:rFonts w:ascii="楷体" w:hAnsi="楷体" w:eastAsia="楷体" w:cs="楷体"/>
              <w:color w:val="000000" w:themeColor="text1"/>
              <w14:textFill>
                <w14:solidFill>
                  <w14:schemeClr w14:val="tx1"/>
                </w14:solidFill>
              </w14:textFill>
            </w:rPr>
          </w:pPr>
          <w:r>
            <w:fldChar w:fldCharType="begin"/>
          </w:r>
          <w:r>
            <w:instrText xml:space="preserve"> HYPERLINK \l "_Toc32594" </w:instrText>
          </w:r>
          <w:r>
            <w:fldChar w:fldCharType="separate"/>
          </w:r>
          <w:r>
            <w:rPr>
              <w:rFonts w:hint="eastAsia" w:ascii="楷体" w:hAnsi="楷体" w:eastAsia="楷体" w:cs="楷体"/>
              <w:color w:val="000000" w:themeColor="text1"/>
              <w14:textFill>
                <w14:solidFill>
                  <w14:schemeClr w14:val="tx1"/>
                </w14:solidFill>
              </w14:textFill>
            </w:rPr>
            <w:t>一、优化布局，加快预拌混凝土转型升级发展</w:t>
          </w:r>
          <w:r>
            <w:rPr>
              <w:rFonts w:hint="eastAsia" w:ascii="楷体" w:hAnsi="楷体" w:eastAsia="楷体" w:cs="楷体"/>
              <w:color w:val="000000" w:themeColor="text1"/>
              <w14:textFill>
                <w14:solidFill>
                  <w14:schemeClr w14:val="tx1"/>
                </w14:solidFill>
              </w14:textFill>
            </w:rPr>
            <w:tab/>
          </w:r>
          <w:r>
            <w:rPr>
              <w:rFonts w:hint="eastAsia" w:ascii="楷体" w:hAnsi="楷体" w:eastAsia="楷体" w:cs="楷体"/>
              <w:color w:val="000000" w:themeColor="text1"/>
              <w14:textFill>
                <w14:solidFill>
                  <w14:schemeClr w14:val="tx1"/>
                </w14:solidFill>
              </w14:textFill>
            </w:rPr>
            <w:fldChar w:fldCharType="begin"/>
          </w:r>
          <w:r>
            <w:rPr>
              <w:rFonts w:hint="eastAsia" w:ascii="楷体" w:hAnsi="楷体" w:eastAsia="楷体" w:cs="楷体"/>
              <w:color w:val="000000" w:themeColor="text1"/>
              <w14:textFill>
                <w14:solidFill>
                  <w14:schemeClr w14:val="tx1"/>
                </w14:solidFill>
              </w14:textFill>
            </w:rPr>
            <w:instrText xml:space="preserve"> PAGEREF _Toc32594 \h </w:instrText>
          </w:r>
          <w:r>
            <w:rPr>
              <w:rFonts w:hint="eastAsia" w:ascii="楷体" w:hAnsi="楷体" w:eastAsia="楷体" w:cs="楷体"/>
              <w:color w:val="000000" w:themeColor="text1"/>
              <w14:textFill>
                <w14:solidFill>
                  <w14:schemeClr w14:val="tx1"/>
                </w14:solidFill>
              </w14:textFill>
            </w:rPr>
            <w:fldChar w:fldCharType="separate"/>
          </w:r>
          <w:r>
            <w:rPr>
              <w:rFonts w:hint="eastAsia" w:ascii="楷体" w:hAnsi="楷体" w:eastAsia="楷体" w:cs="楷体"/>
              <w:color w:val="000000" w:themeColor="text1"/>
              <w14:textFill>
                <w14:solidFill>
                  <w14:schemeClr w14:val="tx1"/>
                </w14:solidFill>
              </w14:textFill>
            </w:rPr>
            <w:t>39</w:t>
          </w:r>
          <w:r>
            <w:rPr>
              <w:rFonts w:hint="eastAsia" w:ascii="楷体" w:hAnsi="楷体" w:eastAsia="楷体" w:cs="楷体"/>
              <w:color w:val="000000" w:themeColor="text1"/>
              <w14:textFill>
                <w14:solidFill>
                  <w14:schemeClr w14:val="tx1"/>
                </w14:solidFill>
              </w14:textFill>
            </w:rPr>
            <w:fldChar w:fldCharType="end"/>
          </w:r>
          <w:r>
            <w:rPr>
              <w:rFonts w:hint="eastAsia" w:ascii="楷体" w:hAnsi="楷体" w:eastAsia="楷体" w:cs="楷体"/>
              <w:color w:val="000000" w:themeColor="text1"/>
              <w14:textFill>
                <w14:solidFill>
                  <w14:schemeClr w14:val="tx1"/>
                </w14:solidFill>
              </w14:textFill>
            </w:rPr>
            <w:fldChar w:fldCharType="end"/>
          </w:r>
        </w:p>
        <w:p>
          <w:pPr>
            <w:pStyle w:val="12"/>
            <w:tabs>
              <w:tab w:val="right" w:leader="dot" w:pos="8306"/>
            </w:tabs>
            <w:rPr>
              <w:rFonts w:ascii="楷体" w:hAnsi="楷体" w:eastAsia="楷体" w:cs="楷体"/>
              <w:color w:val="000000" w:themeColor="text1"/>
              <w14:textFill>
                <w14:solidFill>
                  <w14:schemeClr w14:val="tx1"/>
                </w14:solidFill>
              </w14:textFill>
            </w:rPr>
          </w:pPr>
          <w:r>
            <w:fldChar w:fldCharType="begin"/>
          </w:r>
          <w:r>
            <w:instrText xml:space="preserve"> HYPERLINK \l "_Toc20552" </w:instrText>
          </w:r>
          <w:r>
            <w:fldChar w:fldCharType="separate"/>
          </w:r>
          <w:r>
            <w:rPr>
              <w:rFonts w:hint="eastAsia" w:ascii="楷体" w:hAnsi="楷体" w:eastAsia="楷体" w:cs="楷体"/>
              <w:color w:val="000000" w:themeColor="text1"/>
              <w14:textFill>
                <w14:solidFill>
                  <w14:schemeClr w14:val="tx1"/>
                </w14:solidFill>
              </w14:textFill>
            </w:rPr>
            <w:t>二、科学规划，推动预拌砂浆快速发展</w:t>
          </w:r>
          <w:r>
            <w:rPr>
              <w:rFonts w:hint="eastAsia" w:ascii="楷体" w:hAnsi="楷体" w:eastAsia="楷体" w:cs="楷体"/>
              <w:color w:val="000000" w:themeColor="text1"/>
              <w14:textFill>
                <w14:solidFill>
                  <w14:schemeClr w14:val="tx1"/>
                </w14:solidFill>
              </w14:textFill>
            </w:rPr>
            <w:tab/>
          </w:r>
          <w:r>
            <w:rPr>
              <w:rFonts w:hint="eastAsia" w:ascii="楷体" w:hAnsi="楷体" w:eastAsia="楷体" w:cs="楷体"/>
              <w:color w:val="000000" w:themeColor="text1"/>
              <w14:textFill>
                <w14:solidFill>
                  <w14:schemeClr w14:val="tx1"/>
                </w14:solidFill>
              </w14:textFill>
            </w:rPr>
            <w:fldChar w:fldCharType="begin"/>
          </w:r>
          <w:r>
            <w:rPr>
              <w:rFonts w:hint="eastAsia" w:ascii="楷体" w:hAnsi="楷体" w:eastAsia="楷体" w:cs="楷体"/>
              <w:color w:val="000000" w:themeColor="text1"/>
              <w14:textFill>
                <w14:solidFill>
                  <w14:schemeClr w14:val="tx1"/>
                </w14:solidFill>
              </w14:textFill>
            </w:rPr>
            <w:instrText xml:space="preserve"> PAGEREF _Toc20552 \h </w:instrText>
          </w:r>
          <w:r>
            <w:rPr>
              <w:rFonts w:hint="eastAsia" w:ascii="楷体" w:hAnsi="楷体" w:eastAsia="楷体" w:cs="楷体"/>
              <w:color w:val="000000" w:themeColor="text1"/>
              <w14:textFill>
                <w14:solidFill>
                  <w14:schemeClr w14:val="tx1"/>
                </w14:solidFill>
              </w14:textFill>
            </w:rPr>
            <w:fldChar w:fldCharType="separate"/>
          </w:r>
          <w:r>
            <w:rPr>
              <w:rFonts w:hint="eastAsia" w:ascii="楷体" w:hAnsi="楷体" w:eastAsia="楷体" w:cs="楷体"/>
              <w:color w:val="000000" w:themeColor="text1"/>
              <w14:textFill>
                <w14:solidFill>
                  <w14:schemeClr w14:val="tx1"/>
                </w14:solidFill>
              </w14:textFill>
            </w:rPr>
            <w:t>42</w:t>
          </w:r>
          <w:r>
            <w:rPr>
              <w:rFonts w:hint="eastAsia" w:ascii="楷体" w:hAnsi="楷体" w:eastAsia="楷体" w:cs="楷体"/>
              <w:color w:val="000000" w:themeColor="text1"/>
              <w14:textFill>
                <w14:solidFill>
                  <w14:schemeClr w14:val="tx1"/>
                </w14:solidFill>
              </w14:textFill>
            </w:rPr>
            <w:fldChar w:fldCharType="end"/>
          </w:r>
          <w:r>
            <w:rPr>
              <w:rFonts w:hint="eastAsia" w:ascii="楷体" w:hAnsi="楷体" w:eastAsia="楷体" w:cs="楷体"/>
              <w:color w:val="000000" w:themeColor="text1"/>
              <w14:textFill>
                <w14:solidFill>
                  <w14:schemeClr w14:val="tx1"/>
                </w14:solidFill>
              </w14:textFill>
            </w:rPr>
            <w:fldChar w:fldCharType="end"/>
          </w:r>
        </w:p>
        <w:p>
          <w:pPr>
            <w:pStyle w:val="12"/>
            <w:tabs>
              <w:tab w:val="right" w:leader="dot" w:pos="8306"/>
            </w:tabs>
            <w:rPr>
              <w:rFonts w:ascii="楷体" w:hAnsi="楷体" w:eastAsia="楷体" w:cs="楷体"/>
              <w:color w:val="000000" w:themeColor="text1"/>
              <w14:textFill>
                <w14:solidFill>
                  <w14:schemeClr w14:val="tx1"/>
                </w14:solidFill>
              </w14:textFill>
            </w:rPr>
          </w:pPr>
          <w:r>
            <w:fldChar w:fldCharType="begin"/>
          </w:r>
          <w:r>
            <w:instrText xml:space="preserve"> HYPERLINK \l "_Toc29817" </w:instrText>
          </w:r>
          <w:r>
            <w:fldChar w:fldCharType="separate"/>
          </w:r>
          <w:r>
            <w:rPr>
              <w:rFonts w:hint="eastAsia" w:ascii="楷体" w:hAnsi="楷体" w:eastAsia="楷体" w:cs="楷体"/>
              <w:color w:val="000000" w:themeColor="text1"/>
              <w14:textFill>
                <w14:solidFill>
                  <w14:schemeClr w14:val="tx1"/>
                </w14:solidFill>
              </w14:textFill>
            </w:rPr>
            <w:t>三、培育新动能，开拓和规范乡镇农村市场</w:t>
          </w:r>
          <w:r>
            <w:rPr>
              <w:rFonts w:hint="eastAsia" w:ascii="楷体" w:hAnsi="楷体" w:eastAsia="楷体" w:cs="楷体"/>
              <w:color w:val="000000" w:themeColor="text1"/>
              <w14:textFill>
                <w14:solidFill>
                  <w14:schemeClr w14:val="tx1"/>
                </w14:solidFill>
              </w14:textFill>
            </w:rPr>
            <w:tab/>
          </w:r>
          <w:r>
            <w:rPr>
              <w:rFonts w:hint="eastAsia" w:ascii="楷体" w:hAnsi="楷体" w:eastAsia="楷体" w:cs="楷体"/>
              <w:color w:val="000000" w:themeColor="text1"/>
              <w14:textFill>
                <w14:solidFill>
                  <w14:schemeClr w14:val="tx1"/>
                </w14:solidFill>
              </w14:textFill>
            </w:rPr>
            <w:fldChar w:fldCharType="begin"/>
          </w:r>
          <w:r>
            <w:rPr>
              <w:rFonts w:hint="eastAsia" w:ascii="楷体" w:hAnsi="楷体" w:eastAsia="楷体" w:cs="楷体"/>
              <w:color w:val="000000" w:themeColor="text1"/>
              <w14:textFill>
                <w14:solidFill>
                  <w14:schemeClr w14:val="tx1"/>
                </w14:solidFill>
              </w14:textFill>
            </w:rPr>
            <w:instrText xml:space="preserve"> PAGEREF _Toc29817 \h </w:instrText>
          </w:r>
          <w:r>
            <w:rPr>
              <w:rFonts w:hint="eastAsia" w:ascii="楷体" w:hAnsi="楷体" w:eastAsia="楷体" w:cs="楷体"/>
              <w:color w:val="000000" w:themeColor="text1"/>
              <w14:textFill>
                <w14:solidFill>
                  <w14:schemeClr w14:val="tx1"/>
                </w14:solidFill>
              </w14:textFill>
            </w:rPr>
            <w:fldChar w:fldCharType="separate"/>
          </w:r>
          <w:r>
            <w:rPr>
              <w:rFonts w:hint="eastAsia" w:ascii="楷体" w:hAnsi="楷体" w:eastAsia="楷体" w:cs="楷体"/>
              <w:color w:val="000000" w:themeColor="text1"/>
              <w14:textFill>
                <w14:solidFill>
                  <w14:schemeClr w14:val="tx1"/>
                </w14:solidFill>
              </w14:textFill>
            </w:rPr>
            <w:t>44</w:t>
          </w:r>
          <w:r>
            <w:rPr>
              <w:rFonts w:hint="eastAsia" w:ascii="楷体" w:hAnsi="楷体" w:eastAsia="楷体" w:cs="楷体"/>
              <w:color w:val="000000" w:themeColor="text1"/>
              <w14:textFill>
                <w14:solidFill>
                  <w14:schemeClr w14:val="tx1"/>
                </w14:solidFill>
              </w14:textFill>
            </w:rPr>
            <w:fldChar w:fldCharType="end"/>
          </w:r>
          <w:r>
            <w:rPr>
              <w:rFonts w:hint="eastAsia" w:ascii="楷体" w:hAnsi="楷体" w:eastAsia="楷体" w:cs="楷体"/>
              <w:color w:val="000000" w:themeColor="text1"/>
              <w14:textFill>
                <w14:solidFill>
                  <w14:schemeClr w14:val="tx1"/>
                </w14:solidFill>
              </w14:textFill>
            </w:rPr>
            <w:fldChar w:fldCharType="end"/>
          </w:r>
        </w:p>
        <w:p>
          <w:pPr>
            <w:pStyle w:val="12"/>
            <w:tabs>
              <w:tab w:val="right" w:leader="dot" w:pos="8306"/>
            </w:tabs>
            <w:rPr>
              <w:rFonts w:ascii="楷体" w:hAnsi="楷体" w:eastAsia="楷体" w:cs="楷体"/>
              <w:color w:val="000000" w:themeColor="text1"/>
              <w14:textFill>
                <w14:solidFill>
                  <w14:schemeClr w14:val="tx1"/>
                </w14:solidFill>
              </w14:textFill>
            </w:rPr>
          </w:pPr>
          <w:r>
            <w:fldChar w:fldCharType="begin"/>
          </w:r>
          <w:r>
            <w:instrText xml:space="preserve"> HYPERLINK \l "_Toc26842" </w:instrText>
          </w:r>
          <w:r>
            <w:fldChar w:fldCharType="separate"/>
          </w:r>
          <w:r>
            <w:rPr>
              <w:rFonts w:hint="eastAsia" w:ascii="楷体" w:hAnsi="楷体" w:eastAsia="楷体" w:cs="楷体"/>
              <w:color w:val="000000" w:themeColor="text1"/>
              <w14:textFill>
                <w14:solidFill>
                  <w14:schemeClr w14:val="tx1"/>
                </w14:solidFill>
              </w14:textFill>
            </w:rPr>
            <w:t>四、补链延链，提升全产业链建设水平</w:t>
          </w:r>
          <w:r>
            <w:rPr>
              <w:rFonts w:hint="eastAsia" w:ascii="楷体" w:hAnsi="楷体" w:eastAsia="楷体" w:cs="楷体"/>
              <w:color w:val="000000" w:themeColor="text1"/>
              <w14:textFill>
                <w14:solidFill>
                  <w14:schemeClr w14:val="tx1"/>
                </w14:solidFill>
              </w14:textFill>
            </w:rPr>
            <w:tab/>
          </w:r>
          <w:r>
            <w:rPr>
              <w:rFonts w:hint="eastAsia" w:ascii="楷体" w:hAnsi="楷体" w:eastAsia="楷体" w:cs="楷体"/>
              <w:color w:val="000000" w:themeColor="text1"/>
              <w14:textFill>
                <w14:solidFill>
                  <w14:schemeClr w14:val="tx1"/>
                </w14:solidFill>
              </w14:textFill>
            </w:rPr>
            <w:fldChar w:fldCharType="begin"/>
          </w:r>
          <w:r>
            <w:rPr>
              <w:rFonts w:hint="eastAsia" w:ascii="楷体" w:hAnsi="楷体" w:eastAsia="楷体" w:cs="楷体"/>
              <w:color w:val="000000" w:themeColor="text1"/>
              <w14:textFill>
                <w14:solidFill>
                  <w14:schemeClr w14:val="tx1"/>
                </w14:solidFill>
              </w14:textFill>
            </w:rPr>
            <w:instrText xml:space="preserve"> PAGEREF _Toc26842 \h </w:instrText>
          </w:r>
          <w:r>
            <w:rPr>
              <w:rFonts w:hint="eastAsia" w:ascii="楷体" w:hAnsi="楷体" w:eastAsia="楷体" w:cs="楷体"/>
              <w:color w:val="000000" w:themeColor="text1"/>
              <w14:textFill>
                <w14:solidFill>
                  <w14:schemeClr w14:val="tx1"/>
                </w14:solidFill>
              </w14:textFill>
            </w:rPr>
            <w:fldChar w:fldCharType="separate"/>
          </w:r>
          <w:r>
            <w:rPr>
              <w:rFonts w:hint="eastAsia" w:ascii="楷体" w:hAnsi="楷体" w:eastAsia="楷体" w:cs="楷体"/>
              <w:color w:val="000000" w:themeColor="text1"/>
              <w14:textFill>
                <w14:solidFill>
                  <w14:schemeClr w14:val="tx1"/>
                </w14:solidFill>
              </w14:textFill>
            </w:rPr>
            <w:t>46</w:t>
          </w:r>
          <w:r>
            <w:rPr>
              <w:rFonts w:hint="eastAsia" w:ascii="楷体" w:hAnsi="楷体" w:eastAsia="楷体" w:cs="楷体"/>
              <w:color w:val="000000" w:themeColor="text1"/>
              <w14:textFill>
                <w14:solidFill>
                  <w14:schemeClr w14:val="tx1"/>
                </w14:solidFill>
              </w14:textFill>
            </w:rPr>
            <w:fldChar w:fldCharType="end"/>
          </w:r>
          <w:r>
            <w:rPr>
              <w:rFonts w:hint="eastAsia" w:ascii="楷体" w:hAnsi="楷体" w:eastAsia="楷体" w:cs="楷体"/>
              <w:color w:val="000000" w:themeColor="text1"/>
              <w14:textFill>
                <w14:solidFill>
                  <w14:schemeClr w14:val="tx1"/>
                </w14:solidFill>
              </w14:textFill>
            </w:rPr>
            <w:fldChar w:fldCharType="end"/>
          </w:r>
        </w:p>
        <w:p>
          <w:pPr>
            <w:pStyle w:val="12"/>
            <w:tabs>
              <w:tab w:val="right" w:leader="dot" w:pos="8306"/>
            </w:tabs>
            <w:rPr>
              <w:rFonts w:ascii="楷体" w:hAnsi="楷体" w:eastAsia="楷体" w:cs="楷体"/>
              <w:color w:val="000000" w:themeColor="text1"/>
              <w14:textFill>
                <w14:solidFill>
                  <w14:schemeClr w14:val="tx1"/>
                </w14:solidFill>
              </w14:textFill>
            </w:rPr>
          </w:pPr>
          <w:r>
            <w:fldChar w:fldCharType="begin"/>
          </w:r>
          <w:r>
            <w:instrText xml:space="preserve"> HYPERLINK \l "_Toc13897" </w:instrText>
          </w:r>
          <w:r>
            <w:fldChar w:fldCharType="separate"/>
          </w:r>
          <w:r>
            <w:rPr>
              <w:rFonts w:hint="eastAsia" w:ascii="楷体" w:hAnsi="楷体" w:eastAsia="楷体" w:cs="楷体"/>
              <w:color w:val="000000" w:themeColor="text1"/>
              <w14:textFill>
                <w14:solidFill>
                  <w14:schemeClr w14:val="tx1"/>
                </w14:solidFill>
              </w14:textFill>
            </w:rPr>
            <w:t>五、践行绿色理念，助力行业“碳达峰、碳中和”</w:t>
          </w:r>
          <w:r>
            <w:rPr>
              <w:rFonts w:hint="eastAsia" w:ascii="楷体" w:hAnsi="楷体" w:eastAsia="楷体" w:cs="楷体"/>
              <w:color w:val="000000" w:themeColor="text1"/>
              <w14:textFill>
                <w14:solidFill>
                  <w14:schemeClr w14:val="tx1"/>
                </w14:solidFill>
              </w14:textFill>
            </w:rPr>
            <w:tab/>
          </w:r>
          <w:r>
            <w:rPr>
              <w:rFonts w:hint="eastAsia" w:ascii="楷体" w:hAnsi="楷体" w:eastAsia="楷体" w:cs="楷体"/>
              <w:color w:val="000000" w:themeColor="text1"/>
              <w14:textFill>
                <w14:solidFill>
                  <w14:schemeClr w14:val="tx1"/>
                </w14:solidFill>
              </w14:textFill>
            </w:rPr>
            <w:fldChar w:fldCharType="begin"/>
          </w:r>
          <w:r>
            <w:rPr>
              <w:rFonts w:hint="eastAsia" w:ascii="楷体" w:hAnsi="楷体" w:eastAsia="楷体" w:cs="楷体"/>
              <w:color w:val="000000" w:themeColor="text1"/>
              <w14:textFill>
                <w14:solidFill>
                  <w14:schemeClr w14:val="tx1"/>
                </w14:solidFill>
              </w14:textFill>
            </w:rPr>
            <w:instrText xml:space="preserve"> PAGEREF _Toc13897 \h </w:instrText>
          </w:r>
          <w:r>
            <w:rPr>
              <w:rFonts w:hint="eastAsia" w:ascii="楷体" w:hAnsi="楷体" w:eastAsia="楷体" w:cs="楷体"/>
              <w:color w:val="000000" w:themeColor="text1"/>
              <w14:textFill>
                <w14:solidFill>
                  <w14:schemeClr w14:val="tx1"/>
                </w14:solidFill>
              </w14:textFill>
            </w:rPr>
            <w:fldChar w:fldCharType="separate"/>
          </w:r>
          <w:r>
            <w:rPr>
              <w:rFonts w:hint="eastAsia" w:ascii="楷体" w:hAnsi="楷体" w:eastAsia="楷体" w:cs="楷体"/>
              <w:color w:val="000000" w:themeColor="text1"/>
              <w14:textFill>
                <w14:solidFill>
                  <w14:schemeClr w14:val="tx1"/>
                </w14:solidFill>
              </w14:textFill>
            </w:rPr>
            <w:t>51</w:t>
          </w:r>
          <w:r>
            <w:rPr>
              <w:rFonts w:hint="eastAsia" w:ascii="楷体" w:hAnsi="楷体" w:eastAsia="楷体" w:cs="楷体"/>
              <w:color w:val="000000" w:themeColor="text1"/>
              <w14:textFill>
                <w14:solidFill>
                  <w14:schemeClr w14:val="tx1"/>
                </w14:solidFill>
              </w14:textFill>
            </w:rPr>
            <w:fldChar w:fldCharType="end"/>
          </w:r>
          <w:r>
            <w:rPr>
              <w:rFonts w:hint="eastAsia" w:ascii="楷体" w:hAnsi="楷体" w:eastAsia="楷体" w:cs="楷体"/>
              <w:color w:val="000000" w:themeColor="text1"/>
              <w14:textFill>
                <w14:solidFill>
                  <w14:schemeClr w14:val="tx1"/>
                </w14:solidFill>
              </w14:textFill>
            </w:rPr>
            <w:fldChar w:fldCharType="end"/>
          </w:r>
        </w:p>
        <w:p>
          <w:pPr>
            <w:pStyle w:val="12"/>
            <w:tabs>
              <w:tab w:val="right" w:leader="dot" w:pos="8306"/>
            </w:tabs>
            <w:rPr>
              <w:rFonts w:ascii="楷体" w:hAnsi="楷体" w:eastAsia="楷体" w:cs="楷体"/>
              <w:color w:val="000000" w:themeColor="text1"/>
              <w14:textFill>
                <w14:solidFill>
                  <w14:schemeClr w14:val="tx1"/>
                </w14:solidFill>
              </w14:textFill>
            </w:rPr>
          </w:pPr>
          <w:r>
            <w:fldChar w:fldCharType="begin"/>
          </w:r>
          <w:r>
            <w:instrText xml:space="preserve"> HYPERLINK \l "_Toc9719" </w:instrText>
          </w:r>
          <w:r>
            <w:fldChar w:fldCharType="separate"/>
          </w:r>
          <w:r>
            <w:rPr>
              <w:rFonts w:hint="eastAsia" w:ascii="楷体" w:hAnsi="楷体" w:eastAsia="楷体" w:cs="楷体"/>
              <w:color w:val="000000" w:themeColor="text1"/>
              <w14:textFill>
                <w14:solidFill>
                  <w14:schemeClr w14:val="tx1"/>
                </w14:solidFill>
              </w14:textFill>
            </w:rPr>
            <w:t>六、两化融合，促进智能制造发展</w:t>
          </w:r>
          <w:r>
            <w:rPr>
              <w:rFonts w:hint="eastAsia" w:ascii="楷体" w:hAnsi="楷体" w:eastAsia="楷体" w:cs="楷体"/>
              <w:color w:val="000000" w:themeColor="text1"/>
              <w14:textFill>
                <w14:solidFill>
                  <w14:schemeClr w14:val="tx1"/>
                </w14:solidFill>
              </w14:textFill>
            </w:rPr>
            <w:tab/>
          </w:r>
          <w:r>
            <w:rPr>
              <w:rFonts w:hint="eastAsia" w:ascii="楷体" w:hAnsi="楷体" w:eastAsia="楷体" w:cs="楷体"/>
              <w:color w:val="000000" w:themeColor="text1"/>
              <w14:textFill>
                <w14:solidFill>
                  <w14:schemeClr w14:val="tx1"/>
                </w14:solidFill>
              </w14:textFill>
            </w:rPr>
            <w:fldChar w:fldCharType="begin"/>
          </w:r>
          <w:r>
            <w:rPr>
              <w:rFonts w:hint="eastAsia" w:ascii="楷体" w:hAnsi="楷体" w:eastAsia="楷体" w:cs="楷体"/>
              <w:color w:val="000000" w:themeColor="text1"/>
              <w14:textFill>
                <w14:solidFill>
                  <w14:schemeClr w14:val="tx1"/>
                </w14:solidFill>
              </w14:textFill>
            </w:rPr>
            <w:instrText xml:space="preserve"> PAGEREF _Toc9719 \h </w:instrText>
          </w:r>
          <w:r>
            <w:rPr>
              <w:rFonts w:hint="eastAsia" w:ascii="楷体" w:hAnsi="楷体" w:eastAsia="楷体" w:cs="楷体"/>
              <w:color w:val="000000" w:themeColor="text1"/>
              <w14:textFill>
                <w14:solidFill>
                  <w14:schemeClr w14:val="tx1"/>
                </w14:solidFill>
              </w14:textFill>
            </w:rPr>
            <w:fldChar w:fldCharType="separate"/>
          </w:r>
          <w:r>
            <w:rPr>
              <w:rFonts w:hint="eastAsia" w:ascii="楷体" w:hAnsi="楷体" w:eastAsia="楷体" w:cs="楷体"/>
              <w:color w:val="000000" w:themeColor="text1"/>
              <w14:textFill>
                <w14:solidFill>
                  <w14:schemeClr w14:val="tx1"/>
                </w14:solidFill>
              </w14:textFill>
            </w:rPr>
            <w:t>52</w:t>
          </w:r>
          <w:r>
            <w:rPr>
              <w:rFonts w:hint="eastAsia" w:ascii="楷体" w:hAnsi="楷体" w:eastAsia="楷体" w:cs="楷体"/>
              <w:color w:val="000000" w:themeColor="text1"/>
              <w14:textFill>
                <w14:solidFill>
                  <w14:schemeClr w14:val="tx1"/>
                </w14:solidFill>
              </w14:textFill>
            </w:rPr>
            <w:fldChar w:fldCharType="end"/>
          </w:r>
          <w:r>
            <w:rPr>
              <w:rFonts w:hint="eastAsia" w:ascii="楷体" w:hAnsi="楷体" w:eastAsia="楷体" w:cs="楷体"/>
              <w:color w:val="000000" w:themeColor="text1"/>
              <w14:textFill>
                <w14:solidFill>
                  <w14:schemeClr w14:val="tx1"/>
                </w14:solidFill>
              </w14:textFill>
            </w:rPr>
            <w:fldChar w:fldCharType="end"/>
          </w:r>
        </w:p>
        <w:p>
          <w:pPr>
            <w:pStyle w:val="12"/>
            <w:tabs>
              <w:tab w:val="right" w:leader="dot" w:pos="8306"/>
            </w:tabs>
            <w:rPr>
              <w:rFonts w:ascii="楷体" w:hAnsi="楷体" w:eastAsia="楷体" w:cs="楷体"/>
              <w:color w:val="000000" w:themeColor="text1"/>
              <w14:textFill>
                <w14:solidFill>
                  <w14:schemeClr w14:val="tx1"/>
                </w14:solidFill>
              </w14:textFill>
            </w:rPr>
          </w:pPr>
          <w:r>
            <w:fldChar w:fldCharType="begin"/>
          </w:r>
          <w:r>
            <w:instrText xml:space="preserve"> HYPERLINK \l "_Toc2031" </w:instrText>
          </w:r>
          <w:r>
            <w:fldChar w:fldCharType="separate"/>
          </w:r>
          <w:r>
            <w:rPr>
              <w:rFonts w:hint="eastAsia" w:ascii="楷体" w:hAnsi="楷体" w:eastAsia="楷体" w:cs="楷体"/>
              <w:color w:val="000000" w:themeColor="text1"/>
              <w14:textFill>
                <w14:solidFill>
                  <w14:schemeClr w14:val="tx1"/>
                </w14:solidFill>
              </w14:textFill>
            </w:rPr>
            <w:t>七、完善机制，推进行业规范化管理</w:t>
          </w:r>
          <w:r>
            <w:rPr>
              <w:rFonts w:hint="eastAsia" w:ascii="楷体" w:hAnsi="楷体" w:eastAsia="楷体" w:cs="楷体"/>
              <w:color w:val="000000" w:themeColor="text1"/>
              <w14:textFill>
                <w14:solidFill>
                  <w14:schemeClr w14:val="tx1"/>
                </w14:solidFill>
              </w14:textFill>
            </w:rPr>
            <w:tab/>
          </w:r>
          <w:r>
            <w:rPr>
              <w:rFonts w:hint="eastAsia" w:ascii="楷体" w:hAnsi="楷体" w:eastAsia="楷体" w:cs="楷体"/>
              <w:color w:val="000000" w:themeColor="text1"/>
              <w14:textFill>
                <w14:solidFill>
                  <w14:schemeClr w14:val="tx1"/>
                </w14:solidFill>
              </w14:textFill>
            </w:rPr>
            <w:fldChar w:fldCharType="begin"/>
          </w:r>
          <w:r>
            <w:rPr>
              <w:rFonts w:hint="eastAsia" w:ascii="楷体" w:hAnsi="楷体" w:eastAsia="楷体" w:cs="楷体"/>
              <w:color w:val="000000" w:themeColor="text1"/>
              <w14:textFill>
                <w14:solidFill>
                  <w14:schemeClr w14:val="tx1"/>
                </w14:solidFill>
              </w14:textFill>
            </w:rPr>
            <w:instrText xml:space="preserve"> PAGEREF _Toc2031 \h </w:instrText>
          </w:r>
          <w:r>
            <w:rPr>
              <w:rFonts w:hint="eastAsia" w:ascii="楷体" w:hAnsi="楷体" w:eastAsia="楷体" w:cs="楷体"/>
              <w:color w:val="000000" w:themeColor="text1"/>
              <w14:textFill>
                <w14:solidFill>
                  <w14:schemeClr w14:val="tx1"/>
                </w14:solidFill>
              </w14:textFill>
            </w:rPr>
            <w:fldChar w:fldCharType="separate"/>
          </w:r>
          <w:r>
            <w:rPr>
              <w:rFonts w:hint="eastAsia" w:ascii="楷体" w:hAnsi="楷体" w:eastAsia="楷体" w:cs="楷体"/>
              <w:color w:val="000000" w:themeColor="text1"/>
              <w14:textFill>
                <w14:solidFill>
                  <w14:schemeClr w14:val="tx1"/>
                </w14:solidFill>
              </w14:textFill>
            </w:rPr>
            <w:t>53</w:t>
          </w:r>
          <w:r>
            <w:rPr>
              <w:rFonts w:hint="eastAsia" w:ascii="楷体" w:hAnsi="楷体" w:eastAsia="楷体" w:cs="楷体"/>
              <w:color w:val="000000" w:themeColor="text1"/>
              <w14:textFill>
                <w14:solidFill>
                  <w14:schemeClr w14:val="tx1"/>
                </w14:solidFill>
              </w14:textFill>
            </w:rPr>
            <w:fldChar w:fldCharType="end"/>
          </w:r>
          <w:r>
            <w:rPr>
              <w:rFonts w:hint="eastAsia" w:ascii="楷体" w:hAnsi="楷体" w:eastAsia="楷体" w:cs="楷体"/>
              <w:color w:val="000000" w:themeColor="text1"/>
              <w14:textFill>
                <w14:solidFill>
                  <w14:schemeClr w14:val="tx1"/>
                </w14:solidFill>
              </w14:textFill>
            </w:rPr>
            <w:fldChar w:fldCharType="end"/>
          </w:r>
        </w:p>
        <w:p>
          <w:pPr>
            <w:pStyle w:val="11"/>
            <w:tabs>
              <w:tab w:val="right" w:leader="dot" w:pos="8306"/>
            </w:tabs>
            <w:rPr>
              <w:rFonts w:ascii="黑体" w:hAnsi="黑体" w:eastAsia="黑体" w:cs="黑体"/>
              <w:b w:val="0"/>
              <w:bCs/>
              <w:color w:val="000000" w:themeColor="text1"/>
              <w14:textFill>
                <w14:solidFill>
                  <w14:schemeClr w14:val="tx1"/>
                </w14:solidFill>
              </w14:textFill>
            </w:rPr>
          </w:pPr>
          <w:r>
            <w:fldChar w:fldCharType="begin"/>
          </w:r>
          <w:r>
            <w:instrText xml:space="preserve"> HYPERLINK \l "_Toc25644" </w:instrText>
          </w:r>
          <w:r>
            <w:fldChar w:fldCharType="separate"/>
          </w:r>
          <w:r>
            <w:rPr>
              <w:rFonts w:hint="eastAsia" w:ascii="黑体" w:hAnsi="黑体" w:eastAsia="黑体" w:cs="黑体"/>
              <w:b w:val="0"/>
              <w:bCs/>
              <w:color w:val="000000" w:themeColor="text1"/>
              <w:lang w:bidi="ar"/>
              <w14:textFill>
                <w14:solidFill>
                  <w14:schemeClr w14:val="tx1"/>
                </w14:solidFill>
              </w14:textFill>
            </w:rPr>
            <w:t>第六章  保障措施</w:t>
          </w:r>
          <w:r>
            <w:rPr>
              <w:rFonts w:hint="eastAsia" w:ascii="黑体" w:hAnsi="黑体" w:eastAsia="黑体" w:cs="黑体"/>
              <w:b w:val="0"/>
              <w:bCs/>
              <w:color w:val="000000" w:themeColor="text1"/>
              <w14:textFill>
                <w14:solidFill>
                  <w14:schemeClr w14:val="tx1"/>
                </w14:solidFill>
              </w14:textFill>
            </w:rPr>
            <w:tab/>
          </w:r>
          <w:r>
            <w:rPr>
              <w:rFonts w:hint="eastAsia" w:ascii="黑体" w:hAnsi="黑体" w:eastAsia="黑体" w:cs="黑体"/>
              <w:b w:val="0"/>
              <w:bCs/>
              <w:color w:val="000000" w:themeColor="text1"/>
              <w14:textFill>
                <w14:solidFill>
                  <w14:schemeClr w14:val="tx1"/>
                </w14:solidFill>
              </w14:textFill>
            </w:rPr>
            <w:fldChar w:fldCharType="begin"/>
          </w:r>
          <w:r>
            <w:rPr>
              <w:rFonts w:hint="eastAsia" w:ascii="黑体" w:hAnsi="黑体" w:eastAsia="黑体" w:cs="黑体"/>
              <w:b w:val="0"/>
              <w:bCs/>
              <w:color w:val="000000" w:themeColor="text1"/>
              <w14:textFill>
                <w14:solidFill>
                  <w14:schemeClr w14:val="tx1"/>
                </w14:solidFill>
              </w14:textFill>
            </w:rPr>
            <w:instrText xml:space="preserve"> PAGEREF _Toc25644 \h </w:instrText>
          </w:r>
          <w:r>
            <w:rPr>
              <w:rFonts w:hint="eastAsia" w:ascii="黑体" w:hAnsi="黑体" w:eastAsia="黑体" w:cs="黑体"/>
              <w:b w:val="0"/>
              <w:bCs/>
              <w:color w:val="000000" w:themeColor="text1"/>
              <w14:textFill>
                <w14:solidFill>
                  <w14:schemeClr w14:val="tx1"/>
                </w14:solidFill>
              </w14:textFill>
            </w:rPr>
            <w:fldChar w:fldCharType="separate"/>
          </w:r>
          <w:r>
            <w:rPr>
              <w:rFonts w:hint="eastAsia" w:ascii="黑体" w:hAnsi="黑体" w:eastAsia="黑体" w:cs="黑体"/>
              <w:b w:val="0"/>
              <w:bCs/>
              <w:color w:val="000000" w:themeColor="text1"/>
              <w14:textFill>
                <w14:solidFill>
                  <w14:schemeClr w14:val="tx1"/>
                </w14:solidFill>
              </w14:textFill>
            </w:rPr>
            <w:t>55</w:t>
          </w:r>
          <w:r>
            <w:rPr>
              <w:rFonts w:hint="eastAsia" w:ascii="黑体" w:hAnsi="黑体" w:eastAsia="黑体" w:cs="黑体"/>
              <w:b w:val="0"/>
              <w:bCs/>
              <w:color w:val="000000" w:themeColor="text1"/>
              <w14:textFill>
                <w14:solidFill>
                  <w14:schemeClr w14:val="tx1"/>
                </w14:solidFill>
              </w14:textFill>
            </w:rPr>
            <w:fldChar w:fldCharType="end"/>
          </w:r>
          <w:r>
            <w:rPr>
              <w:rFonts w:hint="eastAsia" w:ascii="黑体" w:hAnsi="黑体" w:eastAsia="黑体" w:cs="黑体"/>
              <w:b w:val="0"/>
              <w:bCs/>
              <w:color w:val="000000" w:themeColor="text1"/>
              <w14:textFill>
                <w14:solidFill>
                  <w14:schemeClr w14:val="tx1"/>
                </w14:solidFill>
              </w14:textFill>
            </w:rPr>
            <w:fldChar w:fldCharType="end"/>
          </w:r>
        </w:p>
        <w:p>
          <w:pPr>
            <w:pStyle w:val="12"/>
            <w:tabs>
              <w:tab w:val="right" w:leader="dot" w:pos="8306"/>
            </w:tabs>
            <w:rPr>
              <w:rFonts w:ascii="楷体" w:hAnsi="楷体" w:eastAsia="楷体" w:cs="楷体"/>
              <w:color w:val="000000" w:themeColor="text1"/>
              <w14:textFill>
                <w14:solidFill>
                  <w14:schemeClr w14:val="tx1"/>
                </w14:solidFill>
              </w14:textFill>
            </w:rPr>
          </w:pPr>
          <w:r>
            <w:fldChar w:fldCharType="begin"/>
          </w:r>
          <w:r>
            <w:instrText xml:space="preserve"> HYPERLINK \l "_Toc18806" </w:instrText>
          </w:r>
          <w:r>
            <w:fldChar w:fldCharType="separate"/>
          </w:r>
          <w:r>
            <w:rPr>
              <w:rFonts w:hint="eastAsia" w:ascii="楷体" w:hAnsi="楷体" w:eastAsia="楷体" w:cs="楷体"/>
              <w:color w:val="000000" w:themeColor="text1"/>
              <w14:textFill>
                <w14:solidFill>
                  <w14:schemeClr w14:val="tx1"/>
                </w14:solidFill>
              </w14:textFill>
            </w:rPr>
            <w:t>一、加强组织领导，明确部门分工</w:t>
          </w:r>
          <w:r>
            <w:rPr>
              <w:rFonts w:hint="eastAsia" w:ascii="楷体" w:hAnsi="楷体" w:eastAsia="楷体" w:cs="楷体"/>
              <w:color w:val="000000" w:themeColor="text1"/>
              <w14:textFill>
                <w14:solidFill>
                  <w14:schemeClr w14:val="tx1"/>
                </w14:solidFill>
              </w14:textFill>
            </w:rPr>
            <w:tab/>
          </w:r>
          <w:r>
            <w:rPr>
              <w:rFonts w:hint="eastAsia" w:ascii="楷体" w:hAnsi="楷体" w:eastAsia="楷体" w:cs="楷体"/>
              <w:color w:val="000000" w:themeColor="text1"/>
              <w14:textFill>
                <w14:solidFill>
                  <w14:schemeClr w14:val="tx1"/>
                </w14:solidFill>
              </w14:textFill>
            </w:rPr>
            <w:fldChar w:fldCharType="begin"/>
          </w:r>
          <w:r>
            <w:rPr>
              <w:rFonts w:hint="eastAsia" w:ascii="楷体" w:hAnsi="楷体" w:eastAsia="楷体" w:cs="楷体"/>
              <w:color w:val="000000" w:themeColor="text1"/>
              <w14:textFill>
                <w14:solidFill>
                  <w14:schemeClr w14:val="tx1"/>
                </w14:solidFill>
              </w14:textFill>
            </w:rPr>
            <w:instrText xml:space="preserve"> PAGEREF _Toc18806 \h </w:instrText>
          </w:r>
          <w:r>
            <w:rPr>
              <w:rFonts w:hint="eastAsia" w:ascii="楷体" w:hAnsi="楷体" w:eastAsia="楷体" w:cs="楷体"/>
              <w:color w:val="000000" w:themeColor="text1"/>
              <w14:textFill>
                <w14:solidFill>
                  <w14:schemeClr w14:val="tx1"/>
                </w14:solidFill>
              </w14:textFill>
            </w:rPr>
            <w:fldChar w:fldCharType="separate"/>
          </w:r>
          <w:r>
            <w:rPr>
              <w:rFonts w:hint="eastAsia" w:ascii="楷体" w:hAnsi="楷体" w:eastAsia="楷体" w:cs="楷体"/>
              <w:color w:val="000000" w:themeColor="text1"/>
              <w14:textFill>
                <w14:solidFill>
                  <w14:schemeClr w14:val="tx1"/>
                </w14:solidFill>
              </w14:textFill>
            </w:rPr>
            <w:t>55</w:t>
          </w:r>
          <w:r>
            <w:rPr>
              <w:rFonts w:hint="eastAsia" w:ascii="楷体" w:hAnsi="楷体" w:eastAsia="楷体" w:cs="楷体"/>
              <w:color w:val="000000" w:themeColor="text1"/>
              <w14:textFill>
                <w14:solidFill>
                  <w14:schemeClr w14:val="tx1"/>
                </w14:solidFill>
              </w14:textFill>
            </w:rPr>
            <w:fldChar w:fldCharType="end"/>
          </w:r>
          <w:r>
            <w:rPr>
              <w:rFonts w:hint="eastAsia" w:ascii="楷体" w:hAnsi="楷体" w:eastAsia="楷体" w:cs="楷体"/>
              <w:color w:val="000000" w:themeColor="text1"/>
              <w14:textFill>
                <w14:solidFill>
                  <w14:schemeClr w14:val="tx1"/>
                </w14:solidFill>
              </w14:textFill>
            </w:rPr>
            <w:fldChar w:fldCharType="end"/>
          </w:r>
        </w:p>
        <w:p>
          <w:pPr>
            <w:pStyle w:val="12"/>
            <w:tabs>
              <w:tab w:val="right" w:leader="dot" w:pos="8306"/>
            </w:tabs>
            <w:rPr>
              <w:rFonts w:ascii="楷体" w:hAnsi="楷体" w:eastAsia="楷体" w:cs="楷体"/>
              <w:color w:val="000000" w:themeColor="text1"/>
              <w14:textFill>
                <w14:solidFill>
                  <w14:schemeClr w14:val="tx1"/>
                </w14:solidFill>
              </w14:textFill>
            </w:rPr>
          </w:pPr>
          <w:r>
            <w:fldChar w:fldCharType="begin"/>
          </w:r>
          <w:r>
            <w:instrText xml:space="preserve"> HYPERLINK \l "_Toc27209" </w:instrText>
          </w:r>
          <w:r>
            <w:fldChar w:fldCharType="separate"/>
          </w:r>
          <w:r>
            <w:rPr>
              <w:rFonts w:hint="eastAsia" w:ascii="楷体" w:hAnsi="楷体" w:eastAsia="楷体" w:cs="楷体"/>
              <w:color w:val="000000" w:themeColor="text1"/>
              <w14:textFill>
                <w14:solidFill>
                  <w14:schemeClr w14:val="tx1"/>
                </w14:solidFill>
              </w14:textFill>
            </w:rPr>
            <w:t>二、完善政策措施，强化监督管理</w:t>
          </w:r>
          <w:r>
            <w:rPr>
              <w:rFonts w:hint="eastAsia" w:ascii="楷体" w:hAnsi="楷体" w:eastAsia="楷体" w:cs="楷体"/>
              <w:color w:val="000000" w:themeColor="text1"/>
              <w14:textFill>
                <w14:solidFill>
                  <w14:schemeClr w14:val="tx1"/>
                </w14:solidFill>
              </w14:textFill>
            </w:rPr>
            <w:tab/>
          </w:r>
          <w:r>
            <w:rPr>
              <w:rFonts w:hint="eastAsia" w:ascii="楷体" w:hAnsi="楷体" w:eastAsia="楷体" w:cs="楷体"/>
              <w:color w:val="000000" w:themeColor="text1"/>
              <w14:textFill>
                <w14:solidFill>
                  <w14:schemeClr w14:val="tx1"/>
                </w14:solidFill>
              </w14:textFill>
            </w:rPr>
            <w:fldChar w:fldCharType="begin"/>
          </w:r>
          <w:r>
            <w:rPr>
              <w:rFonts w:hint="eastAsia" w:ascii="楷体" w:hAnsi="楷体" w:eastAsia="楷体" w:cs="楷体"/>
              <w:color w:val="000000" w:themeColor="text1"/>
              <w14:textFill>
                <w14:solidFill>
                  <w14:schemeClr w14:val="tx1"/>
                </w14:solidFill>
              </w14:textFill>
            </w:rPr>
            <w:instrText xml:space="preserve"> PAGEREF _Toc27209 \h </w:instrText>
          </w:r>
          <w:r>
            <w:rPr>
              <w:rFonts w:hint="eastAsia" w:ascii="楷体" w:hAnsi="楷体" w:eastAsia="楷体" w:cs="楷体"/>
              <w:color w:val="000000" w:themeColor="text1"/>
              <w14:textFill>
                <w14:solidFill>
                  <w14:schemeClr w14:val="tx1"/>
                </w14:solidFill>
              </w14:textFill>
            </w:rPr>
            <w:fldChar w:fldCharType="separate"/>
          </w:r>
          <w:r>
            <w:rPr>
              <w:rFonts w:hint="eastAsia" w:ascii="楷体" w:hAnsi="楷体" w:eastAsia="楷体" w:cs="楷体"/>
              <w:color w:val="000000" w:themeColor="text1"/>
              <w14:textFill>
                <w14:solidFill>
                  <w14:schemeClr w14:val="tx1"/>
                </w14:solidFill>
              </w14:textFill>
            </w:rPr>
            <w:t>56</w:t>
          </w:r>
          <w:r>
            <w:rPr>
              <w:rFonts w:hint="eastAsia" w:ascii="楷体" w:hAnsi="楷体" w:eastAsia="楷体" w:cs="楷体"/>
              <w:color w:val="000000" w:themeColor="text1"/>
              <w14:textFill>
                <w14:solidFill>
                  <w14:schemeClr w14:val="tx1"/>
                </w14:solidFill>
              </w14:textFill>
            </w:rPr>
            <w:fldChar w:fldCharType="end"/>
          </w:r>
          <w:r>
            <w:rPr>
              <w:rFonts w:hint="eastAsia" w:ascii="楷体" w:hAnsi="楷体" w:eastAsia="楷体" w:cs="楷体"/>
              <w:color w:val="000000" w:themeColor="text1"/>
              <w14:textFill>
                <w14:solidFill>
                  <w14:schemeClr w14:val="tx1"/>
                </w14:solidFill>
              </w14:textFill>
            </w:rPr>
            <w:fldChar w:fldCharType="end"/>
          </w:r>
        </w:p>
        <w:p>
          <w:pPr>
            <w:pStyle w:val="12"/>
            <w:tabs>
              <w:tab w:val="right" w:leader="dot" w:pos="8306"/>
            </w:tabs>
            <w:rPr>
              <w:rFonts w:ascii="楷体" w:hAnsi="楷体" w:eastAsia="楷体" w:cs="楷体"/>
              <w:color w:val="000000" w:themeColor="text1"/>
              <w14:textFill>
                <w14:solidFill>
                  <w14:schemeClr w14:val="tx1"/>
                </w14:solidFill>
              </w14:textFill>
            </w:rPr>
          </w:pPr>
          <w:r>
            <w:fldChar w:fldCharType="begin"/>
          </w:r>
          <w:r>
            <w:instrText xml:space="preserve"> HYPERLINK \l "_Toc6574" </w:instrText>
          </w:r>
          <w:r>
            <w:fldChar w:fldCharType="separate"/>
          </w:r>
          <w:r>
            <w:rPr>
              <w:rFonts w:hint="eastAsia" w:ascii="楷体" w:hAnsi="楷体" w:eastAsia="楷体" w:cs="楷体"/>
              <w:color w:val="000000" w:themeColor="text1"/>
              <w14:textFill>
                <w14:solidFill>
                  <w14:schemeClr w14:val="tx1"/>
                </w14:solidFill>
              </w14:textFill>
            </w:rPr>
            <w:t>三、加快人才培养，提高服务能力</w:t>
          </w:r>
          <w:r>
            <w:rPr>
              <w:rFonts w:hint="eastAsia" w:ascii="楷体" w:hAnsi="楷体" w:eastAsia="楷体" w:cs="楷体"/>
              <w:color w:val="000000" w:themeColor="text1"/>
              <w14:textFill>
                <w14:solidFill>
                  <w14:schemeClr w14:val="tx1"/>
                </w14:solidFill>
              </w14:textFill>
            </w:rPr>
            <w:tab/>
          </w:r>
          <w:r>
            <w:rPr>
              <w:rFonts w:hint="eastAsia" w:ascii="楷体" w:hAnsi="楷体" w:eastAsia="楷体" w:cs="楷体"/>
              <w:color w:val="000000" w:themeColor="text1"/>
              <w14:textFill>
                <w14:solidFill>
                  <w14:schemeClr w14:val="tx1"/>
                </w14:solidFill>
              </w14:textFill>
            </w:rPr>
            <w:fldChar w:fldCharType="begin"/>
          </w:r>
          <w:r>
            <w:rPr>
              <w:rFonts w:hint="eastAsia" w:ascii="楷体" w:hAnsi="楷体" w:eastAsia="楷体" w:cs="楷体"/>
              <w:color w:val="000000" w:themeColor="text1"/>
              <w14:textFill>
                <w14:solidFill>
                  <w14:schemeClr w14:val="tx1"/>
                </w14:solidFill>
              </w14:textFill>
            </w:rPr>
            <w:instrText xml:space="preserve"> PAGEREF _Toc6574 \h </w:instrText>
          </w:r>
          <w:r>
            <w:rPr>
              <w:rFonts w:hint="eastAsia" w:ascii="楷体" w:hAnsi="楷体" w:eastAsia="楷体" w:cs="楷体"/>
              <w:color w:val="000000" w:themeColor="text1"/>
              <w14:textFill>
                <w14:solidFill>
                  <w14:schemeClr w14:val="tx1"/>
                </w14:solidFill>
              </w14:textFill>
            </w:rPr>
            <w:fldChar w:fldCharType="separate"/>
          </w:r>
          <w:r>
            <w:rPr>
              <w:rFonts w:hint="eastAsia" w:ascii="楷体" w:hAnsi="楷体" w:eastAsia="楷体" w:cs="楷体"/>
              <w:color w:val="000000" w:themeColor="text1"/>
              <w14:textFill>
                <w14:solidFill>
                  <w14:schemeClr w14:val="tx1"/>
                </w14:solidFill>
              </w14:textFill>
            </w:rPr>
            <w:t>58</w:t>
          </w:r>
          <w:r>
            <w:rPr>
              <w:rFonts w:hint="eastAsia" w:ascii="楷体" w:hAnsi="楷体" w:eastAsia="楷体" w:cs="楷体"/>
              <w:color w:val="000000" w:themeColor="text1"/>
              <w14:textFill>
                <w14:solidFill>
                  <w14:schemeClr w14:val="tx1"/>
                </w14:solidFill>
              </w14:textFill>
            </w:rPr>
            <w:fldChar w:fldCharType="end"/>
          </w:r>
          <w:r>
            <w:rPr>
              <w:rFonts w:hint="eastAsia" w:ascii="楷体" w:hAnsi="楷体" w:eastAsia="楷体" w:cs="楷体"/>
              <w:color w:val="000000" w:themeColor="text1"/>
              <w14:textFill>
                <w14:solidFill>
                  <w14:schemeClr w14:val="tx1"/>
                </w14:solidFill>
              </w14:textFill>
            </w:rPr>
            <w:fldChar w:fldCharType="end"/>
          </w:r>
        </w:p>
        <w:p>
          <w:pPr>
            <w:pStyle w:val="12"/>
            <w:tabs>
              <w:tab w:val="right" w:leader="dot" w:pos="8306"/>
            </w:tabs>
            <w:rPr>
              <w:rFonts w:ascii="楷体" w:hAnsi="楷体" w:eastAsia="楷体" w:cs="楷体"/>
              <w:color w:val="000000" w:themeColor="text1"/>
              <w14:textFill>
                <w14:solidFill>
                  <w14:schemeClr w14:val="tx1"/>
                </w14:solidFill>
              </w14:textFill>
            </w:rPr>
          </w:pPr>
          <w:r>
            <w:fldChar w:fldCharType="begin"/>
          </w:r>
          <w:r>
            <w:instrText xml:space="preserve"> HYPERLINK \l "_Toc2577" </w:instrText>
          </w:r>
          <w:r>
            <w:fldChar w:fldCharType="separate"/>
          </w:r>
          <w:r>
            <w:rPr>
              <w:rFonts w:hint="eastAsia" w:ascii="楷体" w:hAnsi="楷体" w:eastAsia="楷体" w:cs="楷体"/>
              <w:color w:val="000000" w:themeColor="text1"/>
              <w14:textFill>
                <w14:solidFill>
                  <w14:schemeClr w14:val="tx1"/>
                </w14:solidFill>
              </w14:textFill>
            </w:rPr>
            <w:t>四、推动协会建设，健全有效的联系沟通机制</w:t>
          </w:r>
          <w:r>
            <w:rPr>
              <w:rFonts w:hint="eastAsia" w:ascii="楷体" w:hAnsi="楷体" w:eastAsia="楷体" w:cs="楷体"/>
              <w:color w:val="000000" w:themeColor="text1"/>
              <w14:textFill>
                <w14:solidFill>
                  <w14:schemeClr w14:val="tx1"/>
                </w14:solidFill>
              </w14:textFill>
            </w:rPr>
            <w:tab/>
          </w:r>
          <w:r>
            <w:rPr>
              <w:rFonts w:hint="eastAsia" w:ascii="楷体" w:hAnsi="楷体" w:eastAsia="楷体" w:cs="楷体"/>
              <w:color w:val="000000" w:themeColor="text1"/>
              <w14:textFill>
                <w14:solidFill>
                  <w14:schemeClr w14:val="tx1"/>
                </w14:solidFill>
              </w14:textFill>
            </w:rPr>
            <w:fldChar w:fldCharType="begin"/>
          </w:r>
          <w:r>
            <w:rPr>
              <w:rFonts w:hint="eastAsia" w:ascii="楷体" w:hAnsi="楷体" w:eastAsia="楷体" w:cs="楷体"/>
              <w:color w:val="000000" w:themeColor="text1"/>
              <w14:textFill>
                <w14:solidFill>
                  <w14:schemeClr w14:val="tx1"/>
                </w14:solidFill>
              </w14:textFill>
            </w:rPr>
            <w:instrText xml:space="preserve"> PAGEREF _Toc2577 \h </w:instrText>
          </w:r>
          <w:r>
            <w:rPr>
              <w:rFonts w:hint="eastAsia" w:ascii="楷体" w:hAnsi="楷体" w:eastAsia="楷体" w:cs="楷体"/>
              <w:color w:val="000000" w:themeColor="text1"/>
              <w14:textFill>
                <w14:solidFill>
                  <w14:schemeClr w14:val="tx1"/>
                </w14:solidFill>
              </w14:textFill>
            </w:rPr>
            <w:fldChar w:fldCharType="separate"/>
          </w:r>
          <w:r>
            <w:rPr>
              <w:rFonts w:hint="eastAsia" w:ascii="楷体" w:hAnsi="楷体" w:eastAsia="楷体" w:cs="楷体"/>
              <w:color w:val="000000" w:themeColor="text1"/>
              <w14:textFill>
                <w14:solidFill>
                  <w14:schemeClr w14:val="tx1"/>
                </w14:solidFill>
              </w14:textFill>
            </w:rPr>
            <w:t>59</w:t>
          </w:r>
          <w:r>
            <w:rPr>
              <w:rFonts w:hint="eastAsia" w:ascii="楷体" w:hAnsi="楷体" w:eastAsia="楷体" w:cs="楷体"/>
              <w:color w:val="000000" w:themeColor="text1"/>
              <w14:textFill>
                <w14:solidFill>
                  <w14:schemeClr w14:val="tx1"/>
                </w14:solidFill>
              </w14:textFill>
            </w:rPr>
            <w:fldChar w:fldCharType="end"/>
          </w:r>
          <w:r>
            <w:rPr>
              <w:rFonts w:hint="eastAsia" w:ascii="楷体" w:hAnsi="楷体" w:eastAsia="楷体" w:cs="楷体"/>
              <w:color w:val="000000" w:themeColor="text1"/>
              <w14:textFill>
                <w14:solidFill>
                  <w14:schemeClr w14:val="tx1"/>
                </w14:solidFill>
              </w14:textFill>
            </w:rPr>
            <w:fldChar w:fldCharType="end"/>
          </w:r>
        </w:p>
        <w:p>
          <w:pPr>
            <w:pStyle w:val="12"/>
            <w:tabs>
              <w:tab w:val="right" w:leader="dot" w:pos="8306"/>
            </w:tabs>
            <w:rPr>
              <w:rFonts w:ascii="楷体" w:hAnsi="楷体" w:eastAsia="楷体" w:cs="楷体"/>
              <w:color w:val="000000" w:themeColor="text1"/>
              <w14:textFill>
                <w14:solidFill>
                  <w14:schemeClr w14:val="tx1"/>
                </w14:solidFill>
              </w14:textFill>
            </w:rPr>
          </w:pPr>
          <w:r>
            <w:fldChar w:fldCharType="begin"/>
          </w:r>
          <w:r>
            <w:instrText xml:space="preserve"> HYPERLINK \l "_Toc24737" </w:instrText>
          </w:r>
          <w:r>
            <w:fldChar w:fldCharType="separate"/>
          </w:r>
          <w:r>
            <w:rPr>
              <w:rFonts w:hint="eastAsia" w:ascii="楷体" w:hAnsi="楷体" w:eastAsia="楷体" w:cs="楷体"/>
              <w:color w:val="000000" w:themeColor="text1"/>
              <w14:textFill>
                <w14:solidFill>
                  <w14:schemeClr w14:val="tx1"/>
                </w14:solidFill>
              </w14:textFill>
            </w:rPr>
            <w:t>五、重视宣传引导，营造良好氛围</w:t>
          </w:r>
          <w:r>
            <w:rPr>
              <w:rFonts w:hint="eastAsia" w:ascii="楷体" w:hAnsi="楷体" w:eastAsia="楷体" w:cs="楷体"/>
              <w:color w:val="000000" w:themeColor="text1"/>
              <w14:textFill>
                <w14:solidFill>
                  <w14:schemeClr w14:val="tx1"/>
                </w14:solidFill>
              </w14:textFill>
            </w:rPr>
            <w:tab/>
          </w:r>
          <w:r>
            <w:rPr>
              <w:rFonts w:hint="eastAsia" w:ascii="楷体" w:hAnsi="楷体" w:eastAsia="楷体" w:cs="楷体"/>
              <w:color w:val="000000" w:themeColor="text1"/>
              <w14:textFill>
                <w14:solidFill>
                  <w14:schemeClr w14:val="tx1"/>
                </w14:solidFill>
              </w14:textFill>
            </w:rPr>
            <w:fldChar w:fldCharType="begin"/>
          </w:r>
          <w:r>
            <w:rPr>
              <w:rFonts w:hint="eastAsia" w:ascii="楷体" w:hAnsi="楷体" w:eastAsia="楷体" w:cs="楷体"/>
              <w:color w:val="000000" w:themeColor="text1"/>
              <w14:textFill>
                <w14:solidFill>
                  <w14:schemeClr w14:val="tx1"/>
                </w14:solidFill>
              </w14:textFill>
            </w:rPr>
            <w:instrText xml:space="preserve"> PAGEREF _Toc24737 \h </w:instrText>
          </w:r>
          <w:r>
            <w:rPr>
              <w:rFonts w:hint="eastAsia" w:ascii="楷体" w:hAnsi="楷体" w:eastAsia="楷体" w:cs="楷体"/>
              <w:color w:val="000000" w:themeColor="text1"/>
              <w14:textFill>
                <w14:solidFill>
                  <w14:schemeClr w14:val="tx1"/>
                </w14:solidFill>
              </w14:textFill>
            </w:rPr>
            <w:fldChar w:fldCharType="separate"/>
          </w:r>
          <w:r>
            <w:rPr>
              <w:rFonts w:hint="eastAsia" w:ascii="楷体" w:hAnsi="楷体" w:eastAsia="楷体" w:cs="楷体"/>
              <w:color w:val="000000" w:themeColor="text1"/>
              <w14:textFill>
                <w14:solidFill>
                  <w14:schemeClr w14:val="tx1"/>
                </w14:solidFill>
              </w14:textFill>
            </w:rPr>
            <w:t>59</w:t>
          </w:r>
          <w:r>
            <w:rPr>
              <w:rFonts w:hint="eastAsia" w:ascii="楷体" w:hAnsi="楷体" w:eastAsia="楷体" w:cs="楷体"/>
              <w:color w:val="000000" w:themeColor="text1"/>
              <w14:textFill>
                <w14:solidFill>
                  <w14:schemeClr w14:val="tx1"/>
                </w14:solidFill>
              </w14:textFill>
            </w:rPr>
            <w:fldChar w:fldCharType="end"/>
          </w:r>
          <w:r>
            <w:rPr>
              <w:rFonts w:hint="eastAsia" w:ascii="楷体" w:hAnsi="楷体" w:eastAsia="楷体" w:cs="楷体"/>
              <w:color w:val="000000" w:themeColor="text1"/>
              <w14:textFill>
                <w14:solidFill>
                  <w14:schemeClr w14:val="tx1"/>
                </w14:solidFill>
              </w14:textFill>
            </w:rPr>
            <w:fldChar w:fldCharType="end"/>
          </w:r>
        </w:p>
        <w:p>
          <w:pPr>
            <w:pStyle w:val="2"/>
            <w:ind w:left="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fldChar w:fldCharType="end"/>
          </w:r>
        </w:p>
      </w:sdtContent>
    </w:sdt>
    <w:p>
      <w:pPr>
        <w:pStyle w:val="2"/>
        <w:rPr>
          <w:rFonts w:ascii="Times New Roman" w:hAnsi="Times New Roman" w:eastAsia="黑体"/>
          <w:color w:val="000000" w:themeColor="text1"/>
          <w:kern w:val="0"/>
          <w:sz w:val="36"/>
          <w:szCs w:val="36"/>
          <w:lang w:bidi="ar"/>
          <w14:textFill>
            <w14:solidFill>
              <w14:schemeClr w14:val="tx1"/>
            </w14:solidFill>
          </w14:textFill>
        </w:rPr>
      </w:pPr>
    </w:p>
    <w:p>
      <w:pPr>
        <w:pStyle w:val="2"/>
        <w:ind w:left="0"/>
        <w:rPr>
          <w:rFonts w:ascii="Times New Roman" w:hAnsi="Times New Roman" w:eastAsia="黑体"/>
          <w:color w:val="000000" w:themeColor="text1"/>
          <w:kern w:val="0"/>
          <w:sz w:val="36"/>
          <w:szCs w:val="36"/>
          <w:lang w:bidi="ar"/>
          <w14:textFill>
            <w14:solidFill>
              <w14:schemeClr w14:val="tx1"/>
            </w14:solidFill>
          </w14:textFill>
        </w:rPr>
        <w:sectPr>
          <w:footerReference r:id="rId4" w:type="default"/>
          <w:pgSz w:w="11906" w:h="16838"/>
          <w:pgMar w:top="1440" w:right="1800" w:bottom="1440" w:left="1800" w:header="851" w:footer="992" w:gutter="0"/>
          <w:pgNumType w:fmt="upperRoman" w:start="1"/>
          <w:cols w:space="425" w:num="1"/>
          <w:docGrid w:type="lines" w:linePitch="312" w:charSpace="0"/>
        </w:sectPr>
      </w:pPr>
    </w:p>
    <w:p>
      <w:pPr>
        <w:widowControl/>
        <w:adjustRightInd w:val="0"/>
        <w:snapToGrid w:val="0"/>
        <w:spacing w:after="312" w:afterLines="100" w:line="360" w:lineRule="auto"/>
        <w:jc w:val="center"/>
        <w:outlineLvl w:val="0"/>
        <w:rPr>
          <w:rFonts w:ascii="Times New Roman" w:hAnsi="Times New Roman" w:eastAsia="黑体"/>
          <w:color w:val="000000" w:themeColor="text1"/>
          <w:kern w:val="0"/>
          <w:sz w:val="36"/>
          <w:szCs w:val="36"/>
          <w:lang w:bidi="ar"/>
          <w14:textFill>
            <w14:solidFill>
              <w14:schemeClr w14:val="tx1"/>
            </w14:solidFill>
          </w14:textFill>
        </w:rPr>
      </w:pPr>
      <w:bookmarkStart w:id="12" w:name="_Toc19560"/>
      <w:bookmarkStart w:id="13" w:name="_Toc22780"/>
      <w:bookmarkStart w:id="14" w:name="_Toc15829"/>
      <w:bookmarkStart w:id="15" w:name="_Toc30771"/>
      <w:r>
        <w:rPr>
          <w:rFonts w:ascii="Times New Roman" w:hAnsi="Times New Roman" w:eastAsia="黑体"/>
          <w:color w:val="000000" w:themeColor="text1"/>
          <w:kern w:val="0"/>
          <w:sz w:val="36"/>
          <w:szCs w:val="36"/>
          <w:lang w:bidi="ar"/>
          <w14:textFill>
            <w14:solidFill>
              <w14:schemeClr w14:val="tx1"/>
            </w14:solidFill>
          </w14:textFill>
        </w:rPr>
        <w:t>前</w:t>
      </w:r>
      <w:r>
        <w:rPr>
          <w:rFonts w:hint="eastAsia" w:ascii="Times New Roman" w:hAnsi="Times New Roman" w:eastAsia="黑体"/>
          <w:color w:val="000000" w:themeColor="text1"/>
          <w:kern w:val="0"/>
          <w:sz w:val="36"/>
          <w:szCs w:val="36"/>
          <w:lang w:bidi="ar"/>
          <w14:textFill>
            <w14:solidFill>
              <w14:schemeClr w14:val="tx1"/>
            </w14:solidFill>
          </w14:textFill>
        </w:rPr>
        <w:t xml:space="preserve">  </w:t>
      </w:r>
      <w:r>
        <w:rPr>
          <w:rFonts w:ascii="Times New Roman" w:hAnsi="Times New Roman" w:eastAsia="黑体"/>
          <w:color w:val="000000" w:themeColor="text1"/>
          <w:kern w:val="0"/>
          <w:sz w:val="36"/>
          <w:szCs w:val="36"/>
          <w:lang w:bidi="ar"/>
          <w14:textFill>
            <w14:solidFill>
              <w14:schemeClr w14:val="tx1"/>
            </w14:solidFill>
          </w14:textFill>
        </w:rPr>
        <w:t>言</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p>
      <w:pPr>
        <w:adjustRightInd w:val="0"/>
        <w:snapToGrid w:val="0"/>
        <w:spacing w:line="360" w:lineRule="auto"/>
        <w:ind w:firstLine="640" w:firstLineChars="200"/>
        <w:rPr>
          <w:rFonts w:ascii="Times New Roman" w:hAnsi="Times New Roman" w:eastAsia="仿宋"/>
          <w:color w:val="000000" w:themeColor="text1"/>
          <w:sz w:val="32"/>
          <w:szCs w:val="32"/>
          <w14:textFill>
            <w14:solidFill>
              <w14:schemeClr w14:val="tx1"/>
            </w14:solidFill>
          </w14:textFill>
        </w:rPr>
      </w:pPr>
      <w:r>
        <w:rPr>
          <w:rFonts w:ascii="Times New Roman" w:hAnsi="Times New Roman" w:eastAsia="仿宋"/>
          <w:color w:val="000000" w:themeColor="text1"/>
          <w:sz w:val="32"/>
          <w:szCs w:val="32"/>
          <w14:textFill>
            <w14:solidFill>
              <w14:schemeClr w14:val="tx1"/>
            </w14:solidFill>
          </w14:textFill>
        </w:rPr>
        <w:t>发展散装水泥、预拌混凝土和预拌砂浆对节约资源、发展循环经济、促进节能减排具有十分重要的作用，同时也是保障建设工程质量和提高建筑施工现代化水平的重要手段；对钦州市实施高质量发展，促进生态文明建设，</w:t>
      </w:r>
      <w:r>
        <w:rPr>
          <w:rFonts w:hint="eastAsia" w:ascii="Times New Roman" w:hAnsi="Times New Roman" w:eastAsia="仿宋"/>
          <w:color w:val="000000" w:themeColor="text1"/>
          <w:sz w:val="32"/>
          <w:szCs w:val="32"/>
          <w14:textFill>
            <w14:solidFill>
              <w14:schemeClr w14:val="tx1"/>
            </w14:solidFill>
          </w14:textFill>
        </w:rPr>
        <w:t>全面实施“</w:t>
      </w:r>
      <w:r>
        <w:rPr>
          <w:rFonts w:ascii="Times New Roman" w:hAnsi="Times New Roman" w:eastAsia="仿宋"/>
          <w:color w:val="000000" w:themeColor="text1"/>
          <w:sz w:val="32"/>
          <w:szCs w:val="32"/>
          <w14:textFill>
            <w14:solidFill>
              <w14:schemeClr w14:val="tx1"/>
            </w14:solidFill>
          </w14:textFill>
        </w:rPr>
        <w:t>建大港、</w:t>
      </w:r>
      <w:r>
        <w:rPr>
          <w:rFonts w:hint="eastAsia" w:ascii="Times New Roman" w:hAnsi="Times New Roman" w:eastAsia="仿宋"/>
          <w:color w:val="000000" w:themeColor="text1"/>
          <w:sz w:val="32"/>
          <w:szCs w:val="32"/>
          <w14:textFill>
            <w14:solidFill>
              <w14:schemeClr w14:val="tx1"/>
            </w14:solidFill>
          </w14:textFill>
        </w:rPr>
        <w:t>壮</w:t>
      </w:r>
      <w:r>
        <w:rPr>
          <w:rFonts w:ascii="Times New Roman" w:hAnsi="Times New Roman" w:eastAsia="仿宋"/>
          <w:color w:val="000000" w:themeColor="text1"/>
          <w:sz w:val="32"/>
          <w:szCs w:val="32"/>
          <w14:textFill>
            <w14:solidFill>
              <w14:schemeClr w14:val="tx1"/>
            </w14:solidFill>
          </w14:textFill>
        </w:rPr>
        <w:t>产业、造滨城</w:t>
      </w:r>
      <w:r>
        <w:rPr>
          <w:rFonts w:hint="eastAsia" w:ascii="Times New Roman" w:hAnsi="Times New Roman" w:eastAsia="仿宋"/>
          <w:color w:val="000000" w:themeColor="text1"/>
          <w:sz w:val="32"/>
          <w:szCs w:val="32"/>
          <w14:textFill>
            <w14:solidFill>
              <w14:schemeClr w14:val="tx1"/>
            </w14:solidFill>
          </w14:textFill>
        </w:rPr>
        <w:t>、美乡村”，</w:t>
      </w:r>
      <w:r>
        <w:rPr>
          <w:rFonts w:ascii="Times New Roman" w:hAnsi="Times New Roman" w:eastAsia="仿宋"/>
          <w:color w:val="000000" w:themeColor="text1"/>
          <w:sz w:val="32"/>
          <w:szCs w:val="32"/>
          <w14:textFill>
            <w14:solidFill>
              <w14:schemeClr w14:val="tx1"/>
            </w14:solidFill>
          </w14:textFill>
        </w:rPr>
        <w:t>坚持</w:t>
      </w:r>
      <w:r>
        <w:rPr>
          <w:rFonts w:hint="eastAsia" w:ascii="Times New Roman" w:hAnsi="Times New Roman" w:eastAsia="仿宋"/>
          <w:color w:val="000000" w:themeColor="text1"/>
          <w:sz w:val="32"/>
          <w:szCs w:val="32"/>
          <w14:textFill>
            <w14:solidFill>
              <w14:schemeClr w14:val="tx1"/>
            </w14:solidFill>
          </w14:textFill>
        </w:rPr>
        <w:t>“</w:t>
      </w:r>
      <w:r>
        <w:rPr>
          <w:rFonts w:ascii="Times New Roman" w:hAnsi="Times New Roman" w:eastAsia="仿宋"/>
          <w:color w:val="000000" w:themeColor="text1"/>
          <w:sz w:val="32"/>
          <w:szCs w:val="32"/>
          <w14:textFill>
            <w14:solidFill>
              <w14:schemeClr w14:val="tx1"/>
            </w14:solidFill>
          </w14:textFill>
        </w:rPr>
        <w:t>政策为大、项目为王、环境为本、创新为要</w:t>
      </w:r>
      <w:r>
        <w:rPr>
          <w:rFonts w:hint="eastAsia" w:ascii="Times New Roman" w:hAnsi="Times New Roman" w:eastAsia="仿宋"/>
          <w:color w:val="000000" w:themeColor="text1"/>
          <w:sz w:val="32"/>
          <w:szCs w:val="32"/>
          <w14:textFill>
            <w14:solidFill>
              <w14:schemeClr w14:val="tx1"/>
            </w14:solidFill>
          </w14:textFill>
        </w:rPr>
        <w:t>”四轮驱动战略</w:t>
      </w:r>
      <w:r>
        <w:rPr>
          <w:rFonts w:ascii="Times New Roman" w:hAnsi="Times New Roman" w:eastAsia="仿宋"/>
          <w:color w:val="000000" w:themeColor="text1"/>
          <w:sz w:val="32"/>
          <w:szCs w:val="32"/>
          <w14:textFill>
            <w14:solidFill>
              <w14:schemeClr w14:val="tx1"/>
            </w14:solidFill>
          </w14:textFill>
        </w:rPr>
        <w:t>具有重要意义。为深入贯彻生态文明建设，落实国家和自治区</w:t>
      </w:r>
      <w:r>
        <w:rPr>
          <w:rFonts w:hint="eastAsia" w:ascii="Times New Roman" w:hAnsi="Times New Roman" w:eastAsia="仿宋"/>
          <w:color w:val="000000" w:themeColor="text1"/>
          <w:sz w:val="32"/>
          <w:szCs w:val="32"/>
          <w14:textFill>
            <w14:solidFill>
              <w14:schemeClr w14:val="tx1"/>
            </w14:solidFill>
          </w14:textFill>
        </w:rPr>
        <w:t>“</w:t>
      </w:r>
      <w:r>
        <w:rPr>
          <w:rFonts w:ascii="Times New Roman" w:hAnsi="Times New Roman" w:eastAsia="仿宋"/>
          <w:color w:val="000000" w:themeColor="text1"/>
          <w:sz w:val="32"/>
          <w:szCs w:val="32"/>
          <w14:textFill>
            <w14:solidFill>
              <w14:schemeClr w14:val="tx1"/>
            </w14:solidFill>
          </w14:textFill>
        </w:rPr>
        <w:t>碳达峰、碳中和</w:t>
      </w:r>
      <w:r>
        <w:rPr>
          <w:rFonts w:hint="eastAsia" w:ascii="Times New Roman" w:hAnsi="Times New Roman" w:eastAsia="仿宋"/>
          <w:color w:val="000000" w:themeColor="text1"/>
          <w:sz w:val="32"/>
          <w:szCs w:val="32"/>
          <w14:textFill>
            <w14:solidFill>
              <w14:schemeClr w14:val="tx1"/>
            </w14:solidFill>
          </w14:textFill>
        </w:rPr>
        <w:t>”</w:t>
      </w:r>
      <w:r>
        <w:rPr>
          <w:rFonts w:ascii="Times New Roman" w:hAnsi="Times New Roman" w:eastAsia="仿宋"/>
          <w:color w:val="000000" w:themeColor="text1"/>
          <w:sz w:val="32"/>
          <w:szCs w:val="32"/>
          <w14:textFill>
            <w14:solidFill>
              <w14:schemeClr w14:val="tx1"/>
            </w14:solidFill>
          </w14:textFill>
        </w:rPr>
        <w:t>重大决策部署，加快推动钦州市散装水泥、预拌混凝土、预拌砂浆产业高质量发展，根据</w:t>
      </w:r>
      <w:r>
        <w:rPr>
          <w:rFonts w:hint="eastAsia" w:ascii="Times New Roman" w:hAnsi="Times New Roman" w:eastAsia="仿宋"/>
          <w:color w:val="000000" w:themeColor="text1"/>
          <w:sz w:val="32"/>
          <w:szCs w:val="32"/>
          <w14:textFill>
            <w14:solidFill>
              <w14:schemeClr w14:val="tx1"/>
            </w14:solidFill>
          </w14:textFill>
        </w:rPr>
        <w:t>《广西散装水泥、预拌混凝土、预拌砂浆发展“十四五”规划》</w:t>
      </w:r>
      <w:r>
        <w:rPr>
          <w:rFonts w:ascii="Times New Roman" w:hAnsi="Times New Roman" w:eastAsia="仿宋"/>
          <w:color w:val="000000" w:themeColor="text1"/>
          <w:sz w:val="32"/>
          <w:szCs w:val="32"/>
          <w14:textFill>
            <w14:solidFill>
              <w14:schemeClr w14:val="tx1"/>
            </w14:solidFill>
          </w14:textFill>
        </w:rPr>
        <w:t>《广西壮族自治区促进散装水泥发展和应用条例》《广西预拌混凝土管理办法》《钦州市国民经济和社会发展第十四个五年规划和2035年远景目标纲要》以及国家、自治区和钦州市其他有关政策文件要求，结合钦州实际情况，编制《</w:t>
      </w:r>
      <w:r>
        <w:rPr>
          <w:rFonts w:hint="eastAsia" w:ascii="Times New Roman" w:hAnsi="Times New Roman" w:eastAsia="仿宋"/>
          <w:color w:val="000000" w:themeColor="text1"/>
          <w:sz w:val="32"/>
          <w:szCs w:val="32"/>
          <w14:textFill>
            <w14:solidFill>
              <w14:schemeClr w14:val="tx1"/>
            </w14:solidFill>
          </w14:textFill>
        </w:rPr>
        <w:t>钦州市散装水泥、预拌混凝土和预拌砂浆行业发展规划（2022-2025年）</w:t>
      </w:r>
      <w:r>
        <w:rPr>
          <w:rFonts w:ascii="Times New Roman" w:hAnsi="Times New Roman" w:eastAsia="仿宋"/>
          <w:color w:val="000000" w:themeColor="text1"/>
          <w:sz w:val="32"/>
          <w:szCs w:val="32"/>
          <w14:textFill>
            <w14:solidFill>
              <w14:schemeClr w14:val="tx1"/>
            </w14:solidFill>
          </w14:textFill>
        </w:rPr>
        <w:t>》（以下简称</w:t>
      </w:r>
      <w:r>
        <w:rPr>
          <w:rFonts w:hint="eastAsia" w:ascii="Times New Roman" w:hAnsi="Times New Roman" w:eastAsia="仿宋"/>
          <w:color w:val="000000" w:themeColor="text1"/>
          <w:sz w:val="32"/>
          <w:szCs w:val="32"/>
          <w14:textFill>
            <w14:solidFill>
              <w14:schemeClr w14:val="tx1"/>
            </w14:solidFill>
          </w14:textFill>
        </w:rPr>
        <w:t>“</w:t>
      </w:r>
      <w:r>
        <w:rPr>
          <w:rFonts w:ascii="Times New Roman" w:hAnsi="Times New Roman" w:eastAsia="仿宋"/>
          <w:color w:val="000000" w:themeColor="text1"/>
          <w:sz w:val="32"/>
          <w:szCs w:val="32"/>
          <w14:textFill>
            <w14:solidFill>
              <w14:schemeClr w14:val="tx1"/>
            </w14:solidFill>
          </w14:textFill>
        </w:rPr>
        <w:t>本规划</w:t>
      </w:r>
      <w:r>
        <w:rPr>
          <w:rFonts w:hint="eastAsia" w:ascii="Times New Roman" w:hAnsi="Times New Roman" w:eastAsia="仿宋"/>
          <w:color w:val="000000" w:themeColor="text1"/>
          <w:sz w:val="32"/>
          <w:szCs w:val="32"/>
          <w14:textFill>
            <w14:solidFill>
              <w14:schemeClr w14:val="tx1"/>
            </w14:solidFill>
          </w14:textFill>
        </w:rPr>
        <w:t>”</w:t>
      </w:r>
      <w:r>
        <w:rPr>
          <w:rFonts w:ascii="Times New Roman" w:hAnsi="Times New Roman" w:eastAsia="仿宋"/>
          <w:color w:val="000000" w:themeColor="text1"/>
          <w:sz w:val="32"/>
          <w:szCs w:val="32"/>
          <w14:textFill>
            <w14:solidFill>
              <w14:schemeClr w14:val="tx1"/>
            </w14:solidFill>
          </w14:textFill>
        </w:rPr>
        <w:t>）。</w:t>
      </w:r>
    </w:p>
    <w:p>
      <w:pPr>
        <w:adjustRightInd w:val="0"/>
        <w:snapToGrid w:val="0"/>
        <w:spacing w:line="360" w:lineRule="auto"/>
        <w:ind w:firstLine="640" w:firstLineChars="200"/>
        <w:rPr>
          <w:rFonts w:ascii="Times New Roman" w:hAnsi="Times New Roman" w:eastAsia="仿宋"/>
          <w:color w:val="000000" w:themeColor="text1"/>
          <w:sz w:val="32"/>
          <w:szCs w:val="32"/>
          <w14:textFill>
            <w14:solidFill>
              <w14:schemeClr w14:val="tx1"/>
            </w14:solidFill>
          </w14:textFill>
        </w:rPr>
      </w:pPr>
      <w:r>
        <w:rPr>
          <w:rFonts w:ascii="Times New Roman" w:hAnsi="Times New Roman" w:eastAsia="仿宋"/>
          <w:color w:val="000000" w:themeColor="text1"/>
          <w:sz w:val="32"/>
          <w:szCs w:val="32"/>
          <w14:textFill>
            <w14:solidFill>
              <w14:schemeClr w14:val="tx1"/>
            </w14:solidFill>
          </w14:textFill>
        </w:rPr>
        <w:t>本规划范围：钦州市行政区域范围，即</w:t>
      </w:r>
      <w:r>
        <w:rPr>
          <w:rFonts w:hint="eastAsia" w:ascii="Times New Roman" w:hAnsi="Times New Roman" w:eastAsia="仿宋"/>
          <w:color w:val="000000" w:themeColor="text1"/>
          <w:sz w:val="32"/>
          <w:szCs w:val="32"/>
          <w14:textFill>
            <w14:solidFill>
              <w14:schemeClr w14:val="tx1"/>
            </w14:solidFill>
          </w14:textFill>
        </w:rPr>
        <w:t>灵山县、浦北县、</w:t>
      </w:r>
      <w:r>
        <w:rPr>
          <w:rFonts w:ascii="Times New Roman" w:hAnsi="Times New Roman" w:eastAsia="仿宋"/>
          <w:color w:val="000000" w:themeColor="text1"/>
          <w:sz w:val="32"/>
          <w:szCs w:val="32"/>
          <w14:textFill>
            <w14:solidFill>
              <w14:schemeClr w14:val="tx1"/>
            </w14:solidFill>
          </w14:textFill>
        </w:rPr>
        <w:t>钦南区、钦北区。</w:t>
      </w:r>
    </w:p>
    <w:p>
      <w:pPr>
        <w:adjustRightInd w:val="0"/>
        <w:snapToGrid w:val="0"/>
        <w:spacing w:line="360" w:lineRule="auto"/>
        <w:ind w:firstLine="640" w:firstLineChars="200"/>
        <w:rPr>
          <w:rFonts w:ascii="Times New Roman" w:hAnsi="Times New Roman" w:eastAsia="仿宋"/>
          <w:color w:val="000000" w:themeColor="text1"/>
          <w:sz w:val="32"/>
          <w:szCs w:val="32"/>
          <w14:textFill>
            <w14:solidFill>
              <w14:schemeClr w14:val="tx1"/>
            </w14:solidFill>
          </w14:textFill>
        </w:rPr>
      </w:pPr>
      <w:r>
        <w:rPr>
          <w:rFonts w:ascii="Times New Roman" w:hAnsi="Times New Roman" w:eastAsia="仿宋"/>
          <w:color w:val="000000" w:themeColor="text1"/>
          <w:sz w:val="32"/>
          <w:szCs w:val="32"/>
          <w14:textFill>
            <w14:solidFill>
              <w14:schemeClr w14:val="tx1"/>
            </w14:solidFill>
          </w14:textFill>
        </w:rPr>
        <w:t>本规划期限：202</w:t>
      </w:r>
      <w:r>
        <w:rPr>
          <w:rFonts w:hint="eastAsia" w:ascii="Times New Roman" w:hAnsi="Times New Roman" w:eastAsia="仿宋"/>
          <w:color w:val="000000" w:themeColor="text1"/>
          <w:sz w:val="32"/>
          <w:szCs w:val="32"/>
          <w14:textFill>
            <w14:solidFill>
              <w14:schemeClr w14:val="tx1"/>
            </w14:solidFill>
          </w14:textFill>
        </w:rPr>
        <w:t>2</w:t>
      </w:r>
      <w:r>
        <w:rPr>
          <w:rFonts w:ascii="Times New Roman" w:hAnsi="Times New Roman" w:eastAsia="仿宋"/>
          <w:color w:val="000000" w:themeColor="text1"/>
          <w:sz w:val="32"/>
          <w:szCs w:val="32"/>
          <w14:textFill>
            <w14:solidFill>
              <w14:schemeClr w14:val="tx1"/>
            </w14:solidFill>
          </w14:textFill>
        </w:rPr>
        <w:t>年—2025年。</w:t>
      </w:r>
    </w:p>
    <w:p>
      <w:pPr>
        <w:pStyle w:val="2"/>
        <w:rPr>
          <w:rFonts w:ascii="Times New Roman" w:hAnsi="Times New Roman"/>
          <w:color w:val="000000" w:themeColor="text1"/>
          <w:lang w:bidi="ar"/>
          <w14:textFill>
            <w14:solidFill>
              <w14:schemeClr w14:val="tx1"/>
            </w14:solidFill>
          </w14:textFill>
        </w:rPr>
      </w:pPr>
    </w:p>
    <w:p>
      <w:pPr>
        <w:pStyle w:val="2"/>
        <w:rPr>
          <w:rFonts w:ascii="Times New Roman" w:hAnsi="Times New Roman"/>
          <w:color w:val="000000" w:themeColor="text1"/>
          <w:lang w:bidi="ar"/>
          <w14:textFill>
            <w14:solidFill>
              <w14:schemeClr w14:val="tx1"/>
            </w14:solidFill>
          </w14:textFill>
        </w:rPr>
        <w:sectPr>
          <w:footerReference r:id="rId5" w:type="default"/>
          <w:pgSz w:w="11906" w:h="16838"/>
          <w:pgMar w:top="1440" w:right="1800" w:bottom="1440" w:left="1800" w:header="851" w:footer="992" w:gutter="0"/>
          <w:pgNumType w:start="1"/>
          <w:cols w:space="425" w:num="1"/>
          <w:docGrid w:type="lines" w:linePitch="312" w:charSpace="0"/>
        </w:sectPr>
      </w:pPr>
    </w:p>
    <w:p>
      <w:pPr>
        <w:pStyle w:val="2"/>
        <w:jc w:val="center"/>
        <w:outlineLvl w:val="0"/>
        <w:rPr>
          <w:rFonts w:ascii="Times New Roman" w:hAnsi="Times New Roman" w:eastAsia="黑体"/>
          <w:color w:val="000000" w:themeColor="text1"/>
          <w:kern w:val="0"/>
          <w:sz w:val="36"/>
          <w:szCs w:val="36"/>
          <w:lang w:bidi="ar"/>
          <w14:textFill>
            <w14:solidFill>
              <w14:schemeClr w14:val="tx1"/>
            </w14:solidFill>
          </w14:textFill>
        </w:rPr>
      </w:pPr>
      <w:bookmarkStart w:id="16" w:name="_Toc26165"/>
      <w:bookmarkStart w:id="17" w:name="_Toc4219"/>
      <w:bookmarkStart w:id="18" w:name="_Toc3042"/>
      <w:bookmarkStart w:id="19" w:name="_Toc17725"/>
      <w:r>
        <w:rPr>
          <w:rFonts w:ascii="Times New Roman" w:hAnsi="Times New Roman" w:eastAsia="黑体"/>
          <w:color w:val="000000" w:themeColor="text1"/>
          <w:kern w:val="0"/>
          <w:sz w:val="36"/>
          <w:szCs w:val="36"/>
          <w:lang w:bidi="ar"/>
          <w14:textFill>
            <w14:solidFill>
              <w14:schemeClr w14:val="tx1"/>
            </w14:solidFill>
          </w14:textFill>
        </w:rPr>
        <w:t>第一章</w:t>
      </w:r>
      <w:r>
        <w:rPr>
          <w:rFonts w:hint="eastAsia" w:ascii="Times New Roman" w:hAnsi="Times New Roman" w:eastAsia="黑体"/>
          <w:color w:val="000000" w:themeColor="text1"/>
          <w:kern w:val="0"/>
          <w:sz w:val="36"/>
          <w:szCs w:val="36"/>
          <w:lang w:bidi="ar"/>
          <w14:textFill>
            <w14:solidFill>
              <w14:schemeClr w14:val="tx1"/>
            </w14:solidFill>
          </w14:textFill>
        </w:rPr>
        <w:t xml:space="preserve">  </w:t>
      </w:r>
      <w:r>
        <w:rPr>
          <w:rFonts w:ascii="Times New Roman" w:hAnsi="Times New Roman" w:eastAsia="黑体"/>
          <w:color w:val="000000" w:themeColor="text1"/>
          <w:kern w:val="0"/>
          <w:sz w:val="36"/>
          <w:szCs w:val="36"/>
          <w:lang w:bidi="ar"/>
          <w14:textFill>
            <w14:solidFill>
              <w14:schemeClr w14:val="tx1"/>
            </w14:solidFill>
          </w14:textFill>
        </w:rPr>
        <w:t>发展基础</w:t>
      </w:r>
      <w:bookmarkEnd w:id="16"/>
      <w:bookmarkEnd w:id="17"/>
      <w:bookmarkEnd w:id="18"/>
      <w:bookmarkEnd w:id="19"/>
    </w:p>
    <w:p>
      <w:pPr>
        <w:widowControl/>
        <w:adjustRightInd w:val="0"/>
        <w:snapToGrid w:val="0"/>
        <w:spacing w:line="360" w:lineRule="auto"/>
        <w:ind w:firstLine="640" w:firstLineChars="200"/>
        <w:outlineLvl w:val="1"/>
        <w:rPr>
          <w:rFonts w:ascii="Times New Roman" w:hAnsi="Times New Roman" w:eastAsia="黑体"/>
          <w:bCs/>
          <w:color w:val="000000" w:themeColor="text1"/>
          <w:sz w:val="32"/>
          <w:szCs w:val="26"/>
          <w14:textFill>
            <w14:solidFill>
              <w14:schemeClr w14:val="tx1"/>
            </w14:solidFill>
          </w14:textFill>
        </w:rPr>
      </w:pPr>
      <w:bookmarkStart w:id="20" w:name="_Toc12992"/>
      <w:bookmarkStart w:id="21" w:name="_Toc21564"/>
      <w:bookmarkStart w:id="22" w:name="_Toc3119"/>
      <w:bookmarkStart w:id="23" w:name="_Toc29626"/>
      <w:r>
        <w:rPr>
          <w:rFonts w:ascii="Times New Roman" w:hAnsi="Times New Roman" w:eastAsia="黑体"/>
          <w:bCs/>
          <w:color w:val="000000" w:themeColor="text1"/>
          <w:sz w:val="32"/>
          <w:szCs w:val="26"/>
          <w14:textFill>
            <w14:solidFill>
              <w14:schemeClr w14:val="tx1"/>
            </w14:solidFill>
          </w14:textFill>
        </w:rPr>
        <w:t>一、行业现状</w:t>
      </w:r>
      <w:bookmarkEnd w:id="20"/>
      <w:bookmarkEnd w:id="21"/>
      <w:bookmarkEnd w:id="22"/>
      <w:bookmarkEnd w:id="23"/>
    </w:p>
    <w:p>
      <w:pPr>
        <w:widowControl/>
        <w:adjustRightInd w:val="0"/>
        <w:snapToGrid w:val="0"/>
        <w:spacing w:line="360" w:lineRule="auto"/>
        <w:ind w:firstLine="643" w:firstLineChars="200"/>
        <w:outlineLvl w:val="2"/>
        <w:rPr>
          <w:rFonts w:ascii="Times New Roman" w:hAnsi="Times New Roman" w:eastAsia="楷体"/>
          <w:b/>
          <w:color w:val="000000" w:themeColor="text1"/>
          <w:sz w:val="32"/>
          <w:szCs w:val="32"/>
          <w14:textFill>
            <w14:solidFill>
              <w14:schemeClr w14:val="tx1"/>
            </w14:solidFill>
          </w14:textFill>
        </w:rPr>
      </w:pPr>
      <w:r>
        <w:rPr>
          <w:rFonts w:hint="eastAsia" w:ascii="Times New Roman" w:hAnsi="Times New Roman" w:eastAsia="楷体"/>
          <w:b/>
          <w:color w:val="000000" w:themeColor="text1"/>
          <w:sz w:val="32"/>
          <w:szCs w:val="32"/>
          <w14:textFill>
            <w14:solidFill>
              <w14:schemeClr w14:val="tx1"/>
            </w14:solidFill>
          </w14:textFill>
        </w:rPr>
        <w:t>（一）</w:t>
      </w:r>
      <w:r>
        <w:rPr>
          <w:rFonts w:ascii="Times New Roman" w:hAnsi="Times New Roman" w:eastAsia="楷体"/>
          <w:b/>
          <w:color w:val="000000" w:themeColor="text1"/>
          <w:sz w:val="32"/>
          <w:szCs w:val="32"/>
          <w14:textFill>
            <w14:solidFill>
              <w14:schemeClr w14:val="tx1"/>
            </w14:solidFill>
          </w14:textFill>
        </w:rPr>
        <w:t>散装水泥行业</w:t>
      </w:r>
    </w:p>
    <w:p>
      <w:pPr>
        <w:spacing w:line="360" w:lineRule="auto"/>
        <w:ind w:firstLine="640" w:firstLineChars="200"/>
        <w:rPr>
          <w:rFonts w:ascii="Times New Roman" w:hAnsi="Times New Roman" w:eastAsia="仿宋"/>
          <w:color w:val="000000" w:themeColor="text1"/>
          <w:sz w:val="32"/>
          <w:szCs w:val="32"/>
          <w14:textFill>
            <w14:solidFill>
              <w14:schemeClr w14:val="tx1"/>
            </w14:solidFill>
          </w14:textFill>
        </w:rPr>
      </w:pPr>
      <w:r>
        <w:rPr>
          <w:rFonts w:hint="eastAsia" w:ascii="Times New Roman" w:hAnsi="Times New Roman" w:eastAsia="仿宋"/>
          <w:color w:val="000000" w:themeColor="text1"/>
          <w:sz w:val="32"/>
          <w:szCs w:val="32"/>
          <w14:textFill>
            <w14:solidFill>
              <w14:schemeClr w14:val="tx1"/>
            </w14:solidFill>
          </w14:textFill>
        </w:rPr>
        <w:t>截至</w:t>
      </w:r>
      <w:r>
        <w:rPr>
          <w:rFonts w:ascii="Times New Roman" w:hAnsi="Times New Roman" w:eastAsia="仿宋"/>
          <w:color w:val="000000" w:themeColor="text1"/>
          <w:sz w:val="32"/>
          <w:szCs w:val="32"/>
          <w14:textFill>
            <w14:solidFill>
              <w14:schemeClr w14:val="tx1"/>
            </w14:solidFill>
          </w14:textFill>
        </w:rPr>
        <w:t>2021年底，钦州市共有水泥粉磨站</w:t>
      </w:r>
      <w:r>
        <w:rPr>
          <w:rFonts w:hint="eastAsia" w:ascii="Times New Roman" w:hAnsi="Times New Roman" w:eastAsia="仿宋"/>
          <w:color w:val="000000" w:themeColor="text1"/>
          <w:sz w:val="32"/>
          <w:szCs w:val="32"/>
          <w14:textFill>
            <w14:solidFill>
              <w14:schemeClr w14:val="tx1"/>
            </w14:solidFill>
          </w14:textFill>
        </w:rPr>
        <w:t>5</w:t>
      </w:r>
      <w:r>
        <w:rPr>
          <w:rFonts w:ascii="Times New Roman" w:hAnsi="Times New Roman" w:eastAsia="仿宋"/>
          <w:color w:val="000000" w:themeColor="text1"/>
          <w:sz w:val="32"/>
          <w:szCs w:val="32"/>
          <w14:textFill>
            <w14:solidFill>
              <w14:schemeClr w14:val="tx1"/>
            </w14:solidFill>
          </w14:textFill>
        </w:rPr>
        <w:t>家，设计总产能为3</w:t>
      </w:r>
      <w:r>
        <w:rPr>
          <w:rFonts w:hint="eastAsia" w:ascii="Times New Roman" w:hAnsi="Times New Roman" w:eastAsia="仿宋"/>
          <w:color w:val="000000" w:themeColor="text1"/>
          <w:sz w:val="32"/>
          <w:szCs w:val="32"/>
          <w14:textFill>
            <w14:solidFill>
              <w14:schemeClr w14:val="tx1"/>
            </w14:solidFill>
          </w14:textFill>
        </w:rPr>
        <w:t>4</w:t>
      </w:r>
      <w:r>
        <w:rPr>
          <w:rFonts w:ascii="Times New Roman" w:hAnsi="Times New Roman" w:eastAsia="仿宋"/>
          <w:color w:val="000000" w:themeColor="text1"/>
          <w:sz w:val="32"/>
          <w:szCs w:val="32"/>
          <w14:textFill>
            <w14:solidFill>
              <w14:schemeClr w14:val="tx1"/>
            </w14:solidFill>
          </w14:textFill>
        </w:rPr>
        <w:t>0万吨/年</w:t>
      </w:r>
      <w:r>
        <w:rPr>
          <w:rFonts w:hint="eastAsia" w:ascii="Times New Roman" w:hAnsi="Times New Roman" w:eastAsia="仿宋"/>
          <w:color w:val="000000" w:themeColor="text1"/>
          <w:sz w:val="32"/>
          <w:szCs w:val="32"/>
          <w14:textFill>
            <w14:solidFill>
              <w14:schemeClr w14:val="tx1"/>
            </w14:solidFill>
          </w14:textFill>
        </w:rPr>
        <w:t>，如表1-1所。2021年钦州市散装水泥产量为111.74万吨，产能利用率为40%。散装水泥主要用于本地预拌混凝土、预拌砂浆及水泥制品生产。</w:t>
      </w:r>
      <w:r>
        <w:rPr>
          <w:rFonts w:ascii="Times New Roman" w:hAnsi="Times New Roman" w:eastAsia="仿宋"/>
          <w:color w:val="000000" w:themeColor="text1"/>
          <w:sz w:val="32"/>
          <w:szCs w:val="32"/>
          <w14:textFill>
            <w14:solidFill>
              <w14:schemeClr w14:val="tx1"/>
            </w14:solidFill>
          </w14:textFill>
        </w:rPr>
        <w:t>全市共有散装水泥罐51个，容量3350万立方米，全市散装水泥使用率达60%。</w:t>
      </w:r>
    </w:p>
    <w:p>
      <w:pPr>
        <w:spacing w:line="360" w:lineRule="auto"/>
        <w:ind w:firstLine="482" w:firstLineChars="200"/>
        <w:jc w:val="center"/>
        <w:rPr>
          <w:rFonts w:ascii="Times New Roman" w:hAnsi="Times New Roman" w:eastAsia="仿宋"/>
          <w:b/>
          <w:bCs/>
          <w:color w:val="000000" w:themeColor="text1"/>
          <w:sz w:val="24"/>
          <w:szCs w:val="24"/>
          <w14:textFill>
            <w14:solidFill>
              <w14:schemeClr w14:val="tx1"/>
            </w14:solidFill>
          </w14:textFill>
        </w:rPr>
      </w:pPr>
      <w:r>
        <w:rPr>
          <w:rFonts w:hint="eastAsia" w:ascii="Times New Roman" w:hAnsi="Times New Roman" w:eastAsia="仿宋"/>
          <w:b/>
          <w:bCs/>
          <w:color w:val="000000" w:themeColor="text1"/>
          <w:sz w:val="24"/>
          <w:szCs w:val="24"/>
          <w14:textFill>
            <w14:solidFill>
              <w14:schemeClr w14:val="tx1"/>
            </w14:solidFill>
          </w14:textFill>
        </w:rPr>
        <w:t>表1-1 钦州市水泥粉磨站统计汇总表（截至2021年底）</w:t>
      </w:r>
    </w:p>
    <w:tbl>
      <w:tblPr>
        <w:tblStyle w:val="1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735"/>
        <w:gridCol w:w="3736"/>
        <w:gridCol w:w="1560"/>
        <w:gridCol w:w="14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8" w:type="pct"/>
            <w:vAlign w:val="center"/>
          </w:tcPr>
          <w:p>
            <w:pPr>
              <w:adjustRightInd w:val="0"/>
              <w:snapToGrid w:val="0"/>
              <w:jc w:val="center"/>
              <w:rPr>
                <w:rFonts w:ascii="Times New Roman" w:hAnsi="Times New Roman" w:eastAsia="仿宋"/>
                <w:b/>
                <w:bCs/>
                <w:color w:val="000000" w:themeColor="text1"/>
                <w:sz w:val="24"/>
                <w:szCs w:val="24"/>
                <w14:textFill>
                  <w14:solidFill>
                    <w14:schemeClr w14:val="tx1"/>
                  </w14:solidFill>
                </w14:textFill>
              </w:rPr>
            </w:pPr>
            <w:r>
              <w:rPr>
                <w:rFonts w:hint="eastAsia" w:ascii="Times New Roman" w:hAnsi="Times New Roman" w:eastAsia="仿宋"/>
                <w:b/>
                <w:bCs/>
                <w:color w:val="000000" w:themeColor="text1"/>
                <w:sz w:val="24"/>
                <w:szCs w:val="24"/>
                <w14:textFill>
                  <w14:solidFill>
                    <w14:schemeClr w14:val="tx1"/>
                  </w14:solidFill>
                </w14:textFill>
              </w:rPr>
              <w:t>地区</w:t>
            </w:r>
          </w:p>
        </w:tc>
        <w:tc>
          <w:tcPr>
            <w:tcW w:w="431" w:type="pct"/>
            <w:vAlign w:val="center"/>
          </w:tcPr>
          <w:p>
            <w:pPr>
              <w:adjustRightInd w:val="0"/>
              <w:snapToGrid w:val="0"/>
              <w:jc w:val="center"/>
              <w:rPr>
                <w:rFonts w:ascii="Times New Roman" w:hAnsi="Times New Roman" w:eastAsia="仿宋"/>
                <w:b/>
                <w:bCs/>
                <w:color w:val="000000" w:themeColor="text1"/>
                <w:sz w:val="24"/>
                <w:szCs w:val="24"/>
                <w14:textFill>
                  <w14:solidFill>
                    <w14:schemeClr w14:val="tx1"/>
                  </w14:solidFill>
                </w14:textFill>
              </w:rPr>
            </w:pPr>
            <w:r>
              <w:rPr>
                <w:rFonts w:hint="eastAsia" w:ascii="Times New Roman" w:hAnsi="Times New Roman" w:eastAsia="仿宋"/>
                <w:b/>
                <w:bCs/>
                <w:color w:val="000000" w:themeColor="text1"/>
                <w:sz w:val="24"/>
                <w:szCs w:val="24"/>
                <w14:textFill>
                  <w14:solidFill>
                    <w14:schemeClr w14:val="tx1"/>
                  </w14:solidFill>
                </w14:textFill>
              </w:rPr>
              <w:t>序号</w:t>
            </w:r>
          </w:p>
        </w:tc>
        <w:tc>
          <w:tcPr>
            <w:tcW w:w="2192" w:type="pct"/>
            <w:vAlign w:val="center"/>
          </w:tcPr>
          <w:p>
            <w:pPr>
              <w:adjustRightInd w:val="0"/>
              <w:snapToGrid w:val="0"/>
              <w:jc w:val="center"/>
              <w:rPr>
                <w:rFonts w:ascii="Times New Roman" w:hAnsi="Times New Roman" w:eastAsia="仿宋"/>
                <w:b/>
                <w:bCs/>
                <w:color w:val="000000" w:themeColor="text1"/>
                <w:sz w:val="24"/>
                <w:szCs w:val="24"/>
                <w14:textFill>
                  <w14:solidFill>
                    <w14:schemeClr w14:val="tx1"/>
                  </w14:solidFill>
                </w14:textFill>
              </w:rPr>
            </w:pPr>
            <w:r>
              <w:rPr>
                <w:rFonts w:hint="eastAsia" w:ascii="Times New Roman" w:hAnsi="Times New Roman" w:eastAsia="仿宋"/>
                <w:b/>
                <w:bCs/>
                <w:color w:val="000000" w:themeColor="text1"/>
                <w:sz w:val="24"/>
                <w:szCs w:val="24"/>
                <w14:textFill>
                  <w14:solidFill>
                    <w14:schemeClr w14:val="tx1"/>
                  </w14:solidFill>
                </w14:textFill>
              </w:rPr>
              <w:t>企业名称</w:t>
            </w:r>
          </w:p>
        </w:tc>
        <w:tc>
          <w:tcPr>
            <w:tcW w:w="915" w:type="pct"/>
            <w:vAlign w:val="center"/>
          </w:tcPr>
          <w:p>
            <w:pPr>
              <w:adjustRightInd w:val="0"/>
              <w:snapToGrid w:val="0"/>
              <w:jc w:val="center"/>
              <w:rPr>
                <w:rFonts w:ascii="Times New Roman" w:hAnsi="Times New Roman" w:eastAsia="仿宋"/>
                <w:b/>
                <w:bCs/>
                <w:color w:val="000000" w:themeColor="text1"/>
                <w:sz w:val="24"/>
                <w:szCs w:val="24"/>
                <w14:textFill>
                  <w14:solidFill>
                    <w14:schemeClr w14:val="tx1"/>
                  </w14:solidFill>
                </w14:textFill>
              </w:rPr>
            </w:pPr>
            <w:r>
              <w:rPr>
                <w:rFonts w:hint="eastAsia" w:ascii="Times New Roman" w:hAnsi="Times New Roman" w:eastAsia="仿宋"/>
                <w:b/>
                <w:bCs/>
                <w:color w:val="000000" w:themeColor="text1"/>
                <w:sz w:val="24"/>
                <w:szCs w:val="24"/>
                <w14:textFill>
                  <w14:solidFill>
                    <w14:schemeClr w14:val="tx1"/>
                  </w14:solidFill>
                </w14:textFill>
              </w:rPr>
              <w:t>设计产能（万吨/年）</w:t>
            </w:r>
          </w:p>
        </w:tc>
        <w:tc>
          <w:tcPr>
            <w:tcW w:w="852" w:type="pct"/>
            <w:vAlign w:val="center"/>
          </w:tcPr>
          <w:p>
            <w:pPr>
              <w:adjustRightInd w:val="0"/>
              <w:snapToGrid w:val="0"/>
              <w:jc w:val="center"/>
              <w:rPr>
                <w:rFonts w:ascii="Times New Roman" w:hAnsi="Times New Roman" w:eastAsia="仿宋"/>
                <w:b/>
                <w:bCs/>
                <w:color w:val="000000" w:themeColor="text1"/>
                <w:sz w:val="24"/>
                <w:szCs w:val="24"/>
                <w14:textFill>
                  <w14:solidFill>
                    <w14:schemeClr w14:val="tx1"/>
                  </w14:solidFill>
                </w14:textFill>
              </w:rPr>
            </w:pPr>
            <w:r>
              <w:rPr>
                <w:rFonts w:hint="eastAsia" w:ascii="Times New Roman" w:hAnsi="Times New Roman" w:eastAsia="仿宋"/>
                <w:b/>
                <w:bCs/>
                <w:color w:val="000000" w:themeColor="text1"/>
                <w:sz w:val="24"/>
                <w:szCs w:val="24"/>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8"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灵山县</w:t>
            </w:r>
          </w:p>
        </w:tc>
        <w:tc>
          <w:tcPr>
            <w:tcW w:w="431"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1</w:t>
            </w:r>
          </w:p>
        </w:tc>
        <w:tc>
          <w:tcPr>
            <w:tcW w:w="2192"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广西灵山县昌桂建材有限公司</w:t>
            </w:r>
          </w:p>
        </w:tc>
        <w:tc>
          <w:tcPr>
            <w:tcW w:w="915"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60</w:t>
            </w:r>
          </w:p>
        </w:tc>
        <w:tc>
          <w:tcPr>
            <w:tcW w:w="852"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规划建设中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8"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浦北县</w:t>
            </w:r>
          </w:p>
        </w:tc>
        <w:tc>
          <w:tcPr>
            <w:tcW w:w="431"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2</w:t>
            </w:r>
          </w:p>
        </w:tc>
        <w:tc>
          <w:tcPr>
            <w:tcW w:w="2192"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浦北县海特水泥有限公司</w:t>
            </w:r>
          </w:p>
        </w:tc>
        <w:tc>
          <w:tcPr>
            <w:tcW w:w="915"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60</w:t>
            </w:r>
          </w:p>
        </w:tc>
        <w:tc>
          <w:tcPr>
            <w:tcW w:w="852"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8"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浦北县</w:t>
            </w:r>
          </w:p>
        </w:tc>
        <w:tc>
          <w:tcPr>
            <w:tcW w:w="431"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3</w:t>
            </w:r>
          </w:p>
        </w:tc>
        <w:tc>
          <w:tcPr>
            <w:tcW w:w="2192"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广西绿宝石集团有限公司</w:t>
            </w:r>
          </w:p>
        </w:tc>
        <w:tc>
          <w:tcPr>
            <w:tcW w:w="915"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60</w:t>
            </w:r>
          </w:p>
        </w:tc>
        <w:tc>
          <w:tcPr>
            <w:tcW w:w="852"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8"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钦南区</w:t>
            </w:r>
          </w:p>
        </w:tc>
        <w:tc>
          <w:tcPr>
            <w:tcW w:w="431"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4</w:t>
            </w:r>
          </w:p>
        </w:tc>
        <w:tc>
          <w:tcPr>
            <w:tcW w:w="2192"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广西登高集团钦州旭升水泥有限公司</w:t>
            </w:r>
          </w:p>
        </w:tc>
        <w:tc>
          <w:tcPr>
            <w:tcW w:w="915"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100</w:t>
            </w:r>
          </w:p>
        </w:tc>
        <w:tc>
          <w:tcPr>
            <w:tcW w:w="852"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8"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钦南区</w:t>
            </w:r>
          </w:p>
        </w:tc>
        <w:tc>
          <w:tcPr>
            <w:tcW w:w="431"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5</w:t>
            </w:r>
          </w:p>
        </w:tc>
        <w:tc>
          <w:tcPr>
            <w:tcW w:w="2192"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广西钦州金锋水泥有限公司</w:t>
            </w:r>
          </w:p>
        </w:tc>
        <w:tc>
          <w:tcPr>
            <w:tcW w:w="915"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60</w:t>
            </w:r>
          </w:p>
        </w:tc>
        <w:tc>
          <w:tcPr>
            <w:tcW w:w="852"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p>
        </w:tc>
      </w:tr>
    </w:tbl>
    <w:p>
      <w:pPr>
        <w:pStyle w:val="2"/>
        <w:rPr>
          <w:color w:val="000000" w:themeColor="text1"/>
          <w14:textFill>
            <w14:solidFill>
              <w14:schemeClr w14:val="tx1"/>
            </w14:solidFill>
          </w14:textFill>
        </w:rPr>
      </w:pPr>
    </w:p>
    <w:p>
      <w:pPr>
        <w:spacing w:line="360" w:lineRule="auto"/>
        <w:ind w:firstLine="643" w:firstLineChars="200"/>
        <w:outlineLvl w:val="2"/>
        <w:rPr>
          <w:rFonts w:ascii="Times New Roman" w:hAnsi="Times New Roman" w:eastAsia="楷体"/>
          <w:b/>
          <w:color w:val="000000" w:themeColor="text1"/>
          <w:sz w:val="32"/>
          <w:szCs w:val="32"/>
          <w14:textFill>
            <w14:solidFill>
              <w14:schemeClr w14:val="tx1"/>
            </w14:solidFill>
          </w14:textFill>
        </w:rPr>
      </w:pPr>
      <w:r>
        <w:rPr>
          <w:rFonts w:ascii="Times New Roman" w:hAnsi="Times New Roman" w:eastAsia="楷体"/>
          <w:b/>
          <w:color w:val="000000" w:themeColor="text1"/>
          <w:sz w:val="32"/>
          <w:szCs w:val="32"/>
          <w14:textFill>
            <w14:solidFill>
              <w14:schemeClr w14:val="tx1"/>
            </w14:solidFill>
          </w14:textFill>
        </w:rPr>
        <w:t>（二）预拌混凝土行业</w:t>
      </w:r>
    </w:p>
    <w:p>
      <w:pPr>
        <w:spacing w:line="360" w:lineRule="auto"/>
        <w:ind w:firstLine="640" w:firstLineChars="200"/>
        <w:rPr>
          <w:rFonts w:ascii="Times New Roman" w:hAnsi="Times New Roman" w:eastAsia="仿宋"/>
          <w:color w:val="000000" w:themeColor="text1"/>
          <w:sz w:val="32"/>
          <w:szCs w:val="32"/>
          <w14:textFill>
            <w14:solidFill>
              <w14:schemeClr w14:val="tx1"/>
            </w14:solidFill>
          </w14:textFill>
        </w:rPr>
      </w:pPr>
      <w:r>
        <w:rPr>
          <w:rFonts w:ascii="Times New Roman" w:hAnsi="Times New Roman" w:eastAsia="仿宋"/>
          <w:color w:val="000000" w:themeColor="text1"/>
          <w:sz w:val="32"/>
          <w:szCs w:val="32"/>
          <w14:textFill>
            <w14:solidFill>
              <w14:schemeClr w14:val="tx1"/>
            </w14:solidFill>
          </w14:textFill>
        </w:rPr>
        <w:t>1、生产企业情况</w:t>
      </w:r>
    </w:p>
    <w:p>
      <w:pPr>
        <w:spacing w:line="360" w:lineRule="auto"/>
        <w:ind w:firstLine="640" w:firstLineChars="200"/>
        <w:rPr>
          <w:rFonts w:ascii="Times New Roman" w:hAnsi="Times New Roman" w:eastAsia="仿宋"/>
          <w:color w:val="000000" w:themeColor="text1"/>
          <w:sz w:val="28"/>
          <w:szCs w:val="28"/>
          <w14:textFill>
            <w14:solidFill>
              <w14:schemeClr w14:val="tx1"/>
            </w14:solidFill>
          </w14:textFill>
        </w:rPr>
      </w:pPr>
      <w:r>
        <w:rPr>
          <w:rFonts w:hint="eastAsia" w:ascii="Times New Roman" w:hAnsi="Times New Roman" w:eastAsia="仿宋"/>
          <w:color w:val="000000" w:themeColor="text1"/>
          <w:sz w:val="32"/>
          <w:szCs w:val="32"/>
          <w14:textFill>
            <w14:solidFill>
              <w14:schemeClr w14:val="tx1"/>
            </w14:solidFill>
          </w14:textFill>
        </w:rPr>
        <w:t>截至</w:t>
      </w:r>
      <w:r>
        <w:rPr>
          <w:rFonts w:ascii="Times New Roman" w:hAnsi="Times New Roman" w:eastAsia="仿宋"/>
          <w:color w:val="000000" w:themeColor="text1"/>
          <w:sz w:val="32"/>
          <w:szCs w:val="32"/>
          <w14:textFill>
            <w14:solidFill>
              <w14:schemeClr w14:val="tx1"/>
            </w14:solidFill>
          </w14:textFill>
        </w:rPr>
        <w:t>2021年底，全市具有合法的预拌混凝土专业承包资质企业共5</w:t>
      </w:r>
      <w:r>
        <w:rPr>
          <w:rFonts w:hint="eastAsia" w:ascii="Times New Roman" w:hAnsi="Times New Roman" w:eastAsia="仿宋"/>
          <w:color w:val="000000" w:themeColor="text1"/>
          <w:sz w:val="32"/>
          <w:szCs w:val="32"/>
          <w14:textFill>
            <w14:solidFill>
              <w14:schemeClr w14:val="tx1"/>
            </w14:solidFill>
          </w14:textFill>
        </w:rPr>
        <w:t>1</w:t>
      </w:r>
      <w:r>
        <w:rPr>
          <w:rFonts w:ascii="Times New Roman" w:hAnsi="Times New Roman" w:eastAsia="仿宋"/>
          <w:color w:val="000000" w:themeColor="text1"/>
          <w:sz w:val="32"/>
          <w:szCs w:val="32"/>
          <w14:textFill>
            <w14:solidFill>
              <w14:schemeClr w14:val="tx1"/>
            </w14:solidFill>
          </w14:textFill>
        </w:rPr>
        <w:t>家</w:t>
      </w:r>
      <w:r>
        <w:rPr>
          <w:rFonts w:hint="eastAsia" w:ascii="Times New Roman" w:hAnsi="Times New Roman" w:eastAsia="仿宋"/>
          <w:color w:val="000000" w:themeColor="text1"/>
          <w:sz w:val="32"/>
          <w:szCs w:val="32"/>
          <w14:textFill>
            <w14:solidFill>
              <w14:schemeClr w14:val="tx1"/>
            </w14:solidFill>
          </w14:textFill>
        </w:rPr>
        <w:t>，目前具备达产条件的企业48家</w:t>
      </w:r>
      <w:r>
        <w:rPr>
          <w:rFonts w:ascii="Times New Roman" w:hAnsi="Times New Roman" w:eastAsia="仿宋"/>
          <w:color w:val="000000" w:themeColor="text1"/>
          <w:sz w:val="32"/>
          <w:szCs w:val="32"/>
          <w14:textFill>
            <w14:solidFill>
              <w14:schemeClr w14:val="tx1"/>
            </w14:solidFill>
          </w14:textFill>
        </w:rPr>
        <w:t>，设计总产能达</w:t>
      </w:r>
      <w:r>
        <w:rPr>
          <w:rFonts w:hint="eastAsia" w:ascii="Times New Roman" w:hAnsi="Times New Roman" w:eastAsia="仿宋"/>
          <w:color w:val="000000" w:themeColor="text1"/>
          <w:sz w:val="32"/>
          <w:szCs w:val="32"/>
          <w14:textFill>
            <w14:solidFill>
              <w14:schemeClr w14:val="tx1"/>
            </w14:solidFill>
          </w14:textFill>
        </w:rPr>
        <w:t>2565</w:t>
      </w:r>
      <w:r>
        <w:rPr>
          <w:rFonts w:ascii="Times New Roman" w:hAnsi="Times New Roman" w:eastAsia="仿宋"/>
          <w:color w:val="000000" w:themeColor="text1"/>
          <w:sz w:val="32"/>
          <w:szCs w:val="32"/>
          <w14:textFill>
            <w14:solidFill>
              <w14:schemeClr w14:val="tx1"/>
            </w14:solidFill>
          </w14:textFill>
        </w:rPr>
        <w:t>万立方米/年，</w:t>
      </w:r>
      <w:r>
        <w:rPr>
          <w:rFonts w:hint="eastAsia" w:ascii="Times New Roman" w:hAnsi="Times New Roman" w:eastAsia="仿宋"/>
          <w:color w:val="000000" w:themeColor="text1"/>
          <w:sz w:val="32"/>
          <w:szCs w:val="32"/>
          <w14:textFill>
            <w14:solidFill>
              <w14:schemeClr w14:val="tx1"/>
            </w14:solidFill>
          </w14:textFill>
        </w:rPr>
        <w:t>如表1-2所示，</w:t>
      </w:r>
      <w:r>
        <w:rPr>
          <w:rFonts w:ascii="Times New Roman" w:hAnsi="Times New Roman" w:eastAsia="仿宋"/>
          <w:color w:val="000000" w:themeColor="text1"/>
          <w:sz w:val="32"/>
          <w:szCs w:val="32"/>
          <w14:textFill>
            <w14:solidFill>
              <w14:schemeClr w14:val="tx1"/>
            </w14:solidFill>
          </w14:textFill>
        </w:rPr>
        <w:t>其中灵山县15家，设计总产能660万立方米/年；浦北县10家，设计总产能290万立方米/年；钦南区</w:t>
      </w:r>
      <w:r>
        <w:rPr>
          <w:rFonts w:hint="eastAsia" w:ascii="Times New Roman" w:hAnsi="Times New Roman" w:eastAsia="仿宋"/>
          <w:color w:val="000000" w:themeColor="text1"/>
          <w:sz w:val="32"/>
          <w:szCs w:val="32"/>
          <w14:textFill>
            <w14:solidFill>
              <w14:schemeClr w14:val="tx1"/>
            </w14:solidFill>
          </w14:textFill>
        </w:rPr>
        <w:t>19家</w:t>
      </w:r>
      <w:r>
        <w:rPr>
          <w:rFonts w:ascii="Times New Roman" w:hAnsi="Times New Roman" w:eastAsia="仿宋"/>
          <w:color w:val="000000" w:themeColor="text1"/>
          <w:sz w:val="32"/>
          <w:szCs w:val="32"/>
          <w14:textFill>
            <w14:solidFill>
              <w14:schemeClr w14:val="tx1"/>
            </w14:solidFill>
          </w14:textFill>
        </w:rPr>
        <w:t>，设计总产能</w:t>
      </w:r>
      <w:r>
        <w:rPr>
          <w:rFonts w:hint="eastAsia" w:ascii="Times New Roman" w:hAnsi="Times New Roman" w:eastAsia="仿宋"/>
          <w:color w:val="000000" w:themeColor="text1"/>
          <w:sz w:val="32"/>
          <w:szCs w:val="32"/>
          <w14:textFill>
            <w14:solidFill>
              <w14:schemeClr w14:val="tx1"/>
            </w14:solidFill>
          </w14:textFill>
        </w:rPr>
        <w:t>1225</w:t>
      </w:r>
      <w:r>
        <w:rPr>
          <w:rFonts w:ascii="Times New Roman" w:hAnsi="Times New Roman" w:eastAsia="仿宋"/>
          <w:color w:val="000000" w:themeColor="text1"/>
          <w:sz w:val="32"/>
          <w:szCs w:val="32"/>
          <w14:textFill>
            <w14:solidFill>
              <w14:schemeClr w14:val="tx1"/>
            </w14:solidFill>
          </w14:textFill>
        </w:rPr>
        <w:t>万立方米/年（其中钦州港区</w:t>
      </w:r>
      <w:r>
        <w:rPr>
          <w:rFonts w:hint="eastAsia" w:ascii="Times New Roman" w:hAnsi="Times New Roman" w:eastAsia="仿宋"/>
          <w:color w:val="000000" w:themeColor="text1"/>
          <w:sz w:val="32"/>
          <w:szCs w:val="32"/>
          <w14:textFill>
            <w14:solidFill>
              <w14:schemeClr w14:val="tx1"/>
            </w14:solidFill>
          </w14:textFill>
        </w:rPr>
        <w:t>6</w:t>
      </w:r>
      <w:r>
        <w:rPr>
          <w:rFonts w:ascii="Times New Roman" w:hAnsi="Times New Roman" w:eastAsia="仿宋"/>
          <w:color w:val="000000" w:themeColor="text1"/>
          <w:sz w:val="32"/>
          <w:szCs w:val="32"/>
          <w14:textFill>
            <w14:solidFill>
              <w14:schemeClr w14:val="tx1"/>
            </w14:solidFill>
          </w14:textFill>
        </w:rPr>
        <w:t>家，设计总产能</w:t>
      </w:r>
      <w:r>
        <w:rPr>
          <w:rFonts w:hint="eastAsia" w:ascii="Times New Roman" w:hAnsi="Times New Roman" w:eastAsia="仿宋"/>
          <w:color w:val="000000" w:themeColor="text1"/>
          <w:sz w:val="32"/>
          <w:szCs w:val="32"/>
          <w14:textFill>
            <w14:solidFill>
              <w14:schemeClr w14:val="tx1"/>
            </w14:solidFill>
          </w14:textFill>
        </w:rPr>
        <w:t>360</w:t>
      </w:r>
      <w:r>
        <w:rPr>
          <w:rFonts w:ascii="Times New Roman" w:hAnsi="Times New Roman" w:eastAsia="仿宋"/>
          <w:color w:val="000000" w:themeColor="text1"/>
          <w:sz w:val="32"/>
          <w:szCs w:val="32"/>
          <w14:textFill>
            <w14:solidFill>
              <w14:schemeClr w14:val="tx1"/>
            </w14:solidFill>
          </w14:textFill>
        </w:rPr>
        <w:t>万立方米/年）；钦北区</w:t>
      </w:r>
      <w:r>
        <w:rPr>
          <w:rFonts w:hint="eastAsia" w:ascii="Times New Roman" w:hAnsi="Times New Roman" w:eastAsia="仿宋"/>
          <w:color w:val="000000" w:themeColor="text1"/>
          <w:sz w:val="32"/>
          <w:szCs w:val="32"/>
          <w14:textFill>
            <w14:solidFill>
              <w14:schemeClr w14:val="tx1"/>
            </w14:solidFill>
          </w14:textFill>
        </w:rPr>
        <w:t>7</w:t>
      </w:r>
      <w:r>
        <w:rPr>
          <w:rFonts w:ascii="Times New Roman" w:hAnsi="Times New Roman" w:eastAsia="仿宋"/>
          <w:color w:val="000000" w:themeColor="text1"/>
          <w:sz w:val="32"/>
          <w:szCs w:val="32"/>
          <w14:textFill>
            <w14:solidFill>
              <w14:schemeClr w14:val="tx1"/>
            </w14:solidFill>
          </w14:textFill>
        </w:rPr>
        <w:t>家，设计总产能</w:t>
      </w:r>
      <w:r>
        <w:rPr>
          <w:rFonts w:hint="eastAsia" w:ascii="Times New Roman" w:hAnsi="Times New Roman" w:eastAsia="仿宋"/>
          <w:color w:val="000000" w:themeColor="text1"/>
          <w:sz w:val="32"/>
          <w:szCs w:val="32"/>
          <w14:textFill>
            <w14:solidFill>
              <w14:schemeClr w14:val="tx1"/>
            </w14:solidFill>
          </w14:textFill>
        </w:rPr>
        <w:t>390</w:t>
      </w:r>
      <w:r>
        <w:rPr>
          <w:rFonts w:ascii="Times New Roman" w:hAnsi="Times New Roman" w:eastAsia="仿宋"/>
          <w:color w:val="000000" w:themeColor="text1"/>
          <w:sz w:val="32"/>
          <w:szCs w:val="32"/>
          <w14:textFill>
            <w14:solidFill>
              <w14:schemeClr w14:val="tx1"/>
            </w14:solidFill>
          </w14:textFill>
        </w:rPr>
        <w:t>万立方米/年</w:t>
      </w:r>
      <w:r>
        <w:rPr>
          <w:rFonts w:hint="eastAsia" w:ascii="Times New Roman" w:hAnsi="Times New Roman" w:eastAsia="仿宋"/>
          <w:color w:val="000000" w:themeColor="text1"/>
          <w:sz w:val="32"/>
          <w:szCs w:val="32"/>
          <w14:textFill>
            <w14:solidFill>
              <w14:schemeClr w14:val="tx1"/>
            </w14:solidFill>
          </w14:textFill>
        </w:rPr>
        <w:t>。预拌混凝土所需的散装水泥原料除由本地水泥粉磨站供应之外，有部分由防城港市、崇左市、南宁市、北海市、玉林市等周边城市供应；预拌混凝土所需的砂石原料主要以本地供应为主，少量由北海市、防城港市等周边城市供应。预拌混凝土产品主要供应钦州本地使用。</w:t>
      </w:r>
    </w:p>
    <w:p>
      <w:pPr>
        <w:spacing w:line="360" w:lineRule="auto"/>
        <w:ind w:firstLine="560" w:firstLineChars="200"/>
        <w:rPr>
          <w:rFonts w:ascii="Times New Roman" w:hAnsi="Times New Roman" w:eastAsia="仿宋"/>
          <w:color w:val="000000" w:themeColor="text1"/>
          <w:sz w:val="28"/>
          <w:szCs w:val="28"/>
          <w14:textFill>
            <w14:solidFill>
              <w14:schemeClr w14:val="tx1"/>
            </w14:solidFill>
          </w14:textFill>
        </w:rPr>
        <w:sectPr>
          <w:pgSz w:w="11906" w:h="16838"/>
          <w:pgMar w:top="1440" w:right="1800" w:bottom="1440" w:left="1800" w:header="851" w:footer="992" w:gutter="0"/>
          <w:cols w:space="425" w:num="1"/>
          <w:docGrid w:type="lines" w:linePitch="312" w:charSpace="0"/>
        </w:sectPr>
      </w:pPr>
    </w:p>
    <w:p>
      <w:pPr>
        <w:spacing w:line="360" w:lineRule="auto"/>
        <w:ind w:firstLine="482" w:firstLineChars="200"/>
        <w:jc w:val="center"/>
        <w:rPr>
          <w:rFonts w:ascii="Times New Roman" w:hAnsi="Times New Roman" w:eastAsia="仿宋"/>
          <w:b/>
          <w:bCs/>
          <w:color w:val="000000" w:themeColor="text1"/>
          <w:sz w:val="24"/>
          <w:szCs w:val="24"/>
          <w14:textFill>
            <w14:solidFill>
              <w14:schemeClr w14:val="tx1"/>
            </w14:solidFill>
          </w14:textFill>
        </w:rPr>
      </w:pPr>
      <w:r>
        <w:rPr>
          <w:rFonts w:ascii="Times New Roman" w:hAnsi="Times New Roman" w:eastAsia="仿宋"/>
          <w:b/>
          <w:bCs/>
          <w:color w:val="000000" w:themeColor="text1"/>
          <w:sz w:val="24"/>
          <w:szCs w:val="24"/>
          <w14:textFill>
            <w14:solidFill>
              <w14:schemeClr w14:val="tx1"/>
            </w14:solidFill>
          </w14:textFill>
        </w:rPr>
        <w:t>表1-</w:t>
      </w:r>
      <w:r>
        <w:rPr>
          <w:rFonts w:hint="eastAsia" w:ascii="Times New Roman" w:hAnsi="Times New Roman" w:eastAsia="仿宋"/>
          <w:b/>
          <w:bCs/>
          <w:color w:val="000000" w:themeColor="text1"/>
          <w:sz w:val="24"/>
          <w:szCs w:val="24"/>
          <w14:textFill>
            <w14:solidFill>
              <w14:schemeClr w14:val="tx1"/>
            </w14:solidFill>
          </w14:textFill>
        </w:rPr>
        <w:t xml:space="preserve">2 </w:t>
      </w:r>
      <w:r>
        <w:rPr>
          <w:rFonts w:ascii="Times New Roman" w:hAnsi="Times New Roman" w:eastAsia="仿宋"/>
          <w:b/>
          <w:bCs/>
          <w:color w:val="000000" w:themeColor="text1"/>
          <w:sz w:val="24"/>
          <w:szCs w:val="24"/>
          <w14:textFill>
            <w14:solidFill>
              <w14:schemeClr w14:val="tx1"/>
            </w14:solidFill>
          </w14:textFill>
        </w:rPr>
        <w:t>钦州市预拌混凝土生产企业统计汇总表（</w:t>
      </w:r>
      <w:r>
        <w:rPr>
          <w:rFonts w:hint="eastAsia" w:ascii="Times New Roman" w:hAnsi="Times New Roman" w:eastAsia="仿宋"/>
          <w:b/>
          <w:bCs/>
          <w:color w:val="000000" w:themeColor="text1"/>
          <w:sz w:val="24"/>
          <w:szCs w:val="24"/>
          <w14:textFill>
            <w14:solidFill>
              <w14:schemeClr w14:val="tx1"/>
            </w14:solidFill>
          </w14:textFill>
        </w:rPr>
        <w:t>截至</w:t>
      </w:r>
      <w:r>
        <w:rPr>
          <w:rFonts w:ascii="Times New Roman" w:hAnsi="Times New Roman" w:eastAsia="仿宋"/>
          <w:b/>
          <w:bCs/>
          <w:color w:val="000000" w:themeColor="text1"/>
          <w:sz w:val="24"/>
          <w:szCs w:val="24"/>
          <w14:textFill>
            <w14:solidFill>
              <w14:schemeClr w14:val="tx1"/>
            </w14:solidFill>
          </w14:textFill>
        </w:rPr>
        <w:t>2021年</w:t>
      </w:r>
      <w:r>
        <w:rPr>
          <w:rFonts w:hint="eastAsia" w:ascii="Times New Roman" w:hAnsi="Times New Roman" w:eastAsia="仿宋"/>
          <w:b/>
          <w:bCs/>
          <w:color w:val="000000" w:themeColor="text1"/>
          <w:sz w:val="24"/>
          <w:szCs w:val="24"/>
          <w14:textFill>
            <w14:solidFill>
              <w14:schemeClr w14:val="tx1"/>
            </w14:solidFill>
          </w14:textFill>
        </w:rPr>
        <w:t>底</w:t>
      </w:r>
      <w:r>
        <w:rPr>
          <w:rFonts w:ascii="Times New Roman" w:hAnsi="Times New Roman" w:eastAsia="仿宋"/>
          <w:b/>
          <w:bCs/>
          <w:color w:val="000000" w:themeColor="text1"/>
          <w:sz w:val="24"/>
          <w:szCs w:val="24"/>
          <w14:textFill>
            <w14:solidFill>
              <w14:schemeClr w14:val="tx1"/>
            </w14:solidFill>
          </w14:textFill>
        </w:rPr>
        <w:t>）</w:t>
      </w:r>
    </w:p>
    <w:tbl>
      <w:tblPr>
        <w:tblStyle w:val="15"/>
        <w:tblW w:w="534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2"/>
        <w:gridCol w:w="607"/>
        <w:gridCol w:w="3889"/>
        <w:gridCol w:w="3691"/>
        <w:gridCol w:w="3661"/>
        <w:gridCol w:w="954"/>
        <w:gridCol w:w="1184"/>
        <w:gridCol w:w="7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 w:type="pct"/>
            <w:vAlign w:val="center"/>
          </w:tcPr>
          <w:p>
            <w:pPr>
              <w:adjustRightInd w:val="0"/>
              <w:snapToGrid w:val="0"/>
              <w:jc w:val="center"/>
              <w:rPr>
                <w:rFonts w:ascii="Times New Roman" w:hAnsi="Times New Roman" w:eastAsia="仿宋"/>
                <w:b/>
                <w:bCs/>
                <w:color w:val="000000" w:themeColor="text1"/>
                <w:sz w:val="24"/>
                <w:szCs w:val="24"/>
                <w14:textFill>
                  <w14:solidFill>
                    <w14:schemeClr w14:val="tx1"/>
                  </w14:solidFill>
                </w14:textFill>
              </w:rPr>
            </w:pPr>
            <w:r>
              <w:rPr>
                <w:rFonts w:ascii="Times New Roman" w:hAnsi="Times New Roman" w:eastAsia="仿宋"/>
                <w:b/>
                <w:bCs/>
                <w:color w:val="000000" w:themeColor="text1"/>
                <w:sz w:val="24"/>
                <w:szCs w:val="24"/>
                <w14:textFill>
                  <w14:solidFill>
                    <w14:schemeClr w14:val="tx1"/>
                  </w14:solidFill>
                </w14:textFill>
              </w:rPr>
              <w:t>地区</w:t>
            </w:r>
          </w:p>
        </w:tc>
        <w:tc>
          <w:tcPr>
            <w:tcW w:w="200" w:type="pct"/>
            <w:vAlign w:val="center"/>
          </w:tcPr>
          <w:p>
            <w:pPr>
              <w:adjustRightInd w:val="0"/>
              <w:snapToGrid w:val="0"/>
              <w:jc w:val="center"/>
              <w:rPr>
                <w:rFonts w:ascii="Times New Roman" w:hAnsi="Times New Roman" w:eastAsia="仿宋"/>
                <w:b/>
                <w:bCs/>
                <w:color w:val="000000" w:themeColor="text1"/>
                <w:sz w:val="24"/>
                <w:szCs w:val="24"/>
                <w14:textFill>
                  <w14:solidFill>
                    <w14:schemeClr w14:val="tx1"/>
                  </w14:solidFill>
                </w14:textFill>
              </w:rPr>
            </w:pPr>
            <w:r>
              <w:rPr>
                <w:rFonts w:ascii="Times New Roman" w:hAnsi="Times New Roman" w:eastAsia="仿宋"/>
                <w:b/>
                <w:bCs/>
                <w:color w:val="000000" w:themeColor="text1"/>
                <w:sz w:val="24"/>
                <w:szCs w:val="24"/>
                <w14:textFill>
                  <w14:solidFill>
                    <w14:schemeClr w14:val="tx1"/>
                  </w14:solidFill>
                </w14:textFill>
              </w:rPr>
              <w:t>序号</w:t>
            </w:r>
          </w:p>
        </w:tc>
        <w:tc>
          <w:tcPr>
            <w:tcW w:w="1284" w:type="pct"/>
            <w:vAlign w:val="center"/>
          </w:tcPr>
          <w:p>
            <w:pPr>
              <w:adjustRightInd w:val="0"/>
              <w:snapToGrid w:val="0"/>
              <w:jc w:val="center"/>
              <w:rPr>
                <w:rFonts w:ascii="Times New Roman" w:hAnsi="Times New Roman" w:eastAsia="仿宋"/>
                <w:b/>
                <w:bCs/>
                <w:color w:val="000000" w:themeColor="text1"/>
                <w:sz w:val="24"/>
                <w:szCs w:val="24"/>
                <w14:textFill>
                  <w14:solidFill>
                    <w14:schemeClr w14:val="tx1"/>
                  </w14:solidFill>
                </w14:textFill>
              </w:rPr>
            </w:pPr>
            <w:r>
              <w:rPr>
                <w:rFonts w:ascii="Times New Roman" w:hAnsi="Times New Roman" w:eastAsia="仿宋"/>
                <w:b/>
                <w:bCs/>
                <w:color w:val="000000" w:themeColor="text1"/>
                <w:sz w:val="24"/>
                <w:szCs w:val="24"/>
                <w14:textFill>
                  <w14:solidFill>
                    <w14:schemeClr w14:val="tx1"/>
                  </w14:solidFill>
                </w14:textFill>
              </w:rPr>
              <w:t>企业名称</w:t>
            </w:r>
          </w:p>
        </w:tc>
        <w:tc>
          <w:tcPr>
            <w:tcW w:w="1219" w:type="pct"/>
            <w:vAlign w:val="center"/>
          </w:tcPr>
          <w:p>
            <w:pPr>
              <w:adjustRightInd w:val="0"/>
              <w:snapToGrid w:val="0"/>
              <w:jc w:val="center"/>
              <w:rPr>
                <w:rFonts w:ascii="Times New Roman" w:hAnsi="Times New Roman" w:eastAsia="仿宋"/>
                <w:b/>
                <w:bCs/>
                <w:color w:val="000000" w:themeColor="text1"/>
                <w:sz w:val="24"/>
                <w:szCs w:val="24"/>
                <w14:textFill>
                  <w14:solidFill>
                    <w14:schemeClr w14:val="tx1"/>
                  </w14:solidFill>
                </w14:textFill>
              </w:rPr>
            </w:pPr>
            <w:r>
              <w:rPr>
                <w:rFonts w:ascii="Times New Roman" w:hAnsi="Times New Roman" w:eastAsia="仿宋"/>
                <w:b/>
                <w:bCs/>
                <w:color w:val="000000" w:themeColor="text1"/>
                <w:sz w:val="24"/>
                <w:szCs w:val="24"/>
                <w14:textFill>
                  <w14:solidFill>
                    <w14:schemeClr w14:val="tx1"/>
                  </w14:solidFill>
                </w14:textFill>
              </w:rPr>
              <w:t>地址</w:t>
            </w:r>
          </w:p>
        </w:tc>
        <w:tc>
          <w:tcPr>
            <w:tcW w:w="1209" w:type="pct"/>
            <w:vAlign w:val="center"/>
          </w:tcPr>
          <w:p>
            <w:pPr>
              <w:adjustRightInd w:val="0"/>
              <w:snapToGrid w:val="0"/>
              <w:jc w:val="center"/>
              <w:rPr>
                <w:rFonts w:ascii="Times New Roman" w:hAnsi="Times New Roman" w:eastAsia="仿宋"/>
                <w:b/>
                <w:bCs/>
                <w:color w:val="000000" w:themeColor="text1"/>
                <w:sz w:val="24"/>
                <w:szCs w:val="24"/>
                <w14:textFill>
                  <w14:solidFill>
                    <w14:schemeClr w14:val="tx1"/>
                  </w14:solidFill>
                </w14:textFill>
              </w:rPr>
            </w:pPr>
            <w:r>
              <w:rPr>
                <w:rFonts w:ascii="Times New Roman" w:hAnsi="Times New Roman" w:eastAsia="仿宋"/>
                <w:b/>
                <w:bCs/>
                <w:color w:val="000000" w:themeColor="text1"/>
                <w:sz w:val="24"/>
                <w:szCs w:val="24"/>
                <w14:textFill>
                  <w14:solidFill>
                    <w14:schemeClr w14:val="tx1"/>
                  </w14:solidFill>
                </w14:textFill>
              </w:rPr>
              <w:t>搅拌机型号</w:t>
            </w:r>
          </w:p>
        </w:tc>
        <w:tc>
          <w:tcPr>
            <w:tcW w:w="315" w:type="pct"/>
            <w:vAlign w:val="center"/>
          </w:tcPr>
          <w:p>
            <w:pPr>
              <w:adjustRightInd w:val="0"/>
              <w:snapToGrid w:val="0"/>
              <w:jc w:val="center"/>
              <w:rPr>
                <w:rFonts w:ascii="Times New Roman" w:hAnsi="Times New Roman" w:eastAsia="仿宋"/>
                <w:b/>
                <w:bCs/>
                <w:color w:val="000000" w:themeColor="text1"/>
                <w:sz w:val="24"/>
                <w:szCs w:val="24"/>
                <w14:textFill>
                  <w14:solidFill>
                    <w14:schemeClr w14:val="tx1"/>
                  </w14:solidFill>
                </w14:textFill>
              </w:rPr>
            </w:pPr>
            <w:r>
              <w:rPr>
                <w:rFonts w:ascii="Times New Roman" w:hAnsi="Times New Roman" w:eastAsia="仿宋"/>
                <w:b/>
                <w:bCs/>
                <w:color w:val="000000" w:themeColor="text1"/>
                <w:sz w:val="24"/>
                <w:szCs w:val="24"/>
                <w14:textFill>
                  <w14:solidFill>
                    <w14:schemeClr w14:val="tx1"/>
                  </w14:solidFill>
                </w14:textFill>
              </w:rPr>
              <w:t>设计产能（万立方米/年)</w:t>
            </w:r>
          </w:p>
        </w:tc>
        <w:tc>
          <w:tcPr>
            <w:tcW w:w="391" w:type="pct"/>
            <w:vAlign w:val="center"/>
          </w:tcPr>
          <w:p>
            <w:pPr>
              <w:adjustRightInd w:val="0"/>
              <w:snapToGrid w:val="0"/>
              <w:jc w:val="center"/>
              <w:rPr>
                <w:rFonts w:ascii="Times New Roman" w:hAnsi="Times New Roman" w:eastAsia="仿宋"/>
                <w:b/>
                <w:bCs/>
                <w:color w:val="000000" w:themeColor="text1"/>
                <w:sz w:val="24"/>
                <w:szCs w:val="24"/>
                <w14:textFill>
                  <w14:solidFill>
                    <w14:schemeClr w14:val="tx1"/>
                  </w14:solidFill>
                </w14:textFill>
              </w:rPr>
            </w:pPr>
            <w:r>
              <w:rPr>
                <w:rFonts w:hint="eastAsia" w:ascii="Times New Roman" w:hAnsi="Times New Roman" w:eastAsia="仿宋"/>
                <w:b/>
                <w:bCs/>
                <w:color w:val="000000" w:themeColor="text1"/>
                <w:sz w:val="24"/>
                <w:szCs w:val="24"/>
                <w14:textFill>
                  <w14:solidFill>
                    <w14:schemeClr w14:val="tx1"/>
                  </w14:solidFill>
                </w14:textFill>
              </w:rPr>
              <w:t>2021年产量（万立方米）</w:t>
            </w:r>
          </w:p>
        </w:tc>
        <w:tc>
          <w:tcPr>
            <w:tcW w:w="232" w:type="pct"/>
            <w:vAlign w:val="center"/>
          </w:tcPr>
          <w:p>
            <w:pPr>
              <w:adjustRightInd w:val="0"/>
              <w:snapToGrid w:val="0"/>
              <w:jc w:val="center"/>
              <w:rPr>
                <w:rFonts w:ascii="Times New Roman" w:hAnsi="Times New Roman" w:eastAsia="仿宋"/>
                <w:b/>
                <w:bCs/>
                <w:color w:val="000000" w:themeColor="text1"/>
                <w:sz w:val="24"/>
                <w:szCs w:val="24"/>
                <w14:textFill>
                  <w14:solidFill>
                    <w14:schemeClr w14:val="tx1"/>
                  </w14:solidFill>
                </w14:textFill>
              </w:rPr>
            </w:pPr>
            <w:r>
              <w:rPr>
                <w:rFonts w:ascii="Times New Roman" w:hAnsi="Times New Roman" w:eastAsia="仿宋"/>
                <w:b/>
                <w:bCs/>
                <w:color w:val="000000" w:themeColor="text1"/>
                <w:sz w:val="24"/>
                <w:szCs w:val="24"/>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9" w:type="pct"/>
            <w:vMerge w:val="restar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灵山县</w:t>
            </w:r>
          </w:p>
        </w:tc>
        <w:tc>
          <w:tcPr>
            <w:tcW w:w="200"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1</w:t>
            </w:r>
          </w:p>
        </w:tc>
        <w:tc>
          <w:tcPr>
            <w:tcW w:w="1284"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灵山县冠峰水泥制品有限公司</w:t>
            </w:r>
          </w:p>
        </w:tc>
        <w:tc>
          <w:tcPr>
            <w:tcW w:w="1219"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灵山县新圩镇容家村委六云村</w:t>
            </w:r>
          </w:p>
        </w:tc>
        <w:tc>
          <w:tcPr>
            <w:tcW w:w="1209"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JS3000两套</w:t>
            </w:r>
          </w:p>
        </w:tc>
        <w:tc>
          <w:tcPr>
            <w:tcW w:w="315"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60</w:t>
            </w:r>
          </w:p>
        </w:tc>
        <w:tc>
          <w:tcPr>
            <w:tcW w:w="391"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33</w:t>
            </w:r>
          </w:p>
        </w:tc>
        <w:tc>
          <w:tcPr>
            <w:tcW w:w="232"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 w:type="pct"/>
            <w:vMerge w:val="continue"/>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p>
        </w:tc>
        <w:tc>
          <w:tcPr>
            <w:tcW w:w="200"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2</w:t>
            </w:r>
          </w:p>
        </w:tc>
        <w:tc>
          <w:tcPr>
            <w:tcW w:w="1284"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灵山县明辉混凝土制品有限公司</w:t>
            </w:r>
          </w:p>
        </w:tc>
        <w:tc>
          <w:tcPr>
            <w:tcW w:w="1219"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灵山县灵城镇石龙村民委员会山敬生产队</w:t>
            </w:r>
          </w:p>
        </w:tc>
        <w:tc>
          <w:tcPr>
            <w:tcW w:w="1209"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HZS180一套、HZS120一套</w:t>
            </w:r>
          </w:p>
        </w:tc>
        <w:tc>
          <w:tcPr>
            <w:tcW w:w="315"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50</w:t>
            </w:r>
          </w:p>
        </w:tc>
        <w:tc>
          <w:tcPr>
            <w:tcW w:w="391"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3</w:t>
            </w:r>
          </w:p>
        </w:tc>
        <w:tc>
          <w:tcPr>
            <w:tcW w:w="232"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 w:type="pct"/>
            <w:vMerge w:val="continue"/>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p>
        </w:tc>
        <w:tc>
          <w:tcPr>
            <w:tcW w:w="200"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3</w:t>
            </w:r>
          </w:p>
        </w:tc>
        <w:tc>
          <w:tcPr>
            <w:tcW w:w="1284"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广西灵山县金骏水泥制品有限公司</w:t>
            </w:r>
          </w:p>
        </w:tc>
        <w:tc>
          <w:tcPr>
            <w:tcW w:w="1219"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灵山县檀圩镇茶亭村委会那容岭队细分水旱坡地</w:t>
            </w:r>
          </w:p>
        </w:tc>
        <w:tc>
          <w:tcPr>
            <w:tcW w:w="1209"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HZS180一套、HZS120一套</w:t>
            </w:r>
          </w:p>
        </w:tc>
        <w:tc>
          <w:tcPr>
            <w:tcW w:w="315"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50</w:t>
            </w:r>
          </w:p>
        </w:tc>
        <w:tc>
          <w:tcPr>
            <w:tcW w:w="391"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8</w:t>
            </w:r>
          </w:p>
        </w:tc>
        <w:tc>
          <w:tcPr>
            <w:tcW w:w="232"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 w:type="pct"/>
            <w:vMerge w:val="continue"/>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p>
        </w:tc>
        <w:tc>
          <w:tcPr>
            <w:tcW w:w="200"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4</w:t>
            </w:r>
          </w:p>
        </w:tc>
        <w:tc>
          <w:tcPr>
            <w:tcW w:w="1284"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灵山县建灵投资有限公司</w:t>
            </w:r>
          </w:p>
        </w:tc>
        <w:tc>
          <w:tcPr>
            <w:tcW w:w="1219"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灵山县檀圩镇见田村委会第3、4队晚塘</w:t>
            </w:r>
          </w:p>
        </w:tc>
        <w:tc>
          <w:tcPr>
            <w:tcW w:w="1209"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JS3000两套</w:t>
            </w:r>
          </w:p>
        </w:tc>
        <w:tc>
          <w:tcPr>
            <w:tcW w:w="315"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60</w:t>
            </w:r>
          </w:p>
        </w:tc>
        <w:tc>
          <w:tcPr>
            <w:tcW w:w="391"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20</w:t>
            </w:r>
          </w:p>
        </w:tc>
        <w:tc>
          <w:tcPr>
            <w:tcW w:w="232"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 w:type="pct"/>
            <w:vMerge w:val="continue"/>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p>
        </w:tc>
        <w:tc>
          <w:tcPr>
            <w:tcW w:w="200"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5</w:t>
            </w:r>
          </w:p>
        </w:tc>
        <w:tc>
          <w:tcPr>
            <w:tcW w:w="1284"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灵山县冠峰陆屋混凝土有限公司</w:t>
            </w:r>
          </w:p>
        </w:tc>
        <w:tc>
          <w:tcPr>
            <w:tcW w:w="1219"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灵山县工业区陆屋工业园茶场片区内</w:t>
            </w:r>
          </w:p>
        </w:tc>
        <w:tc>
          <w:tcPr>
            <w:tcW w:w="1209"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JS3000一套</w:t>
            </w:r>
          </w:p>
        </w:tc>
        <w:tc>
          <w:tcPr>
            <w:tcW w:w="315"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30</w:t>
            </w:r>
          </w:p>
        </w:tc>
        <w:tc>
          <w:tcPr>
            <w:tcW w:w="391"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7</w:t>
            </w:r>
          </w:p>
        </w:tc>
        <w:tc>
          <w:tcPr>
            <w:tcW w:w="232"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 w:type="pct"/>
            <w:vMerge w:val="continue"/>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p>
        </w:tc>
        <w:tc>
          <w:tcPr>
            <w:tcW w:w="200"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6</w:t>
            </w:r>
          </w:p>
        </w:tc>
        <w:tc>
          <w:tcPr>
            <w:tcW w:w="1284"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灵山县利海水泥制品有限公司</w:t>
            </w:r>
          </w:p>
        </w:tc>
        <w:tc>
          <w:tcPr>
            <w:tcW w:w="1219"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灵山县工业区武利工业园</w:t>
            </w:r>
          </w:p>
        </w:tc>
        <w:tc>
          <w:tcPr>
            <w:tcW w:w="1209"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HZS180（两套）</w:t>
            </w:r>
          </w:p>
        </w:tc>
        <w:tc>
          <w:tcPr>
            <w:tcW w:w="315"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60</w:t>
            </w:r>
          </w:p>
        </w:tc>
        <w:tc>
          <w:tcPr>
            <w:tcW w:w="391"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6</w:t>
            </w:r>
          </w:p>
        </w:tc>
        <w:tc>
          <w:tcPr>
            <w:tcW w:w="232"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 w:type="pct"/>
            <w:vMerge w:val="continue"/>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p>
        </w:tc>
        <w:tc>
          <w:tcPr>
            <w:tcW w:w="200"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7</w:t>
            </w:r>
          </w:p>
        </w:tc>
        <w:tc>
          <w:tcPr>
            <w:tcW w:w="1284"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灵山县利海投资有限公司</w:t>
            </w:r>
          </w:p>
        </w:tc>
        <w:tc>
          <w:tcPr>
            <w:tcW w:w="1219"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灵山县平南镇驾马村</w:t>
            </w:r>
          </w:p>
        </w:tc>
        <w:tc>
          <w:tcPr>
            <w:tcW w:w="1209"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HZS180（两套）</w:t>
            </w:r>
          </w:p>
        </w:tc>
        <w:tc>
          <w:tcPr>
            <w:tcW w:w="315"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60</w:t>
            </w:r>
          </w:p>
        </w:tc>
        <w:tc>
          <w:tcPr>
            <w:tcW w:w="391"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5</w:t>
            </w:r>
          </w:p>
        </w:tc>
        <w:tc>
          <w:tcPr>
            <w:tcW w:w="232"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 w:type="pct"/>
            <w:vMerge w:val="continue"/>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p>
        </w:tc>
        <w:tc>
          <w:tcPr>
            <w:tcW w:w="200"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8</w:t>
            </w:r>
          </w:p>
        </w:tc>
        <w:tc>
          <w:tcPr>
            <w:tcW w:w="1284"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灵山县建灵水泥制品有限公司</w:t>
            </w:r>
          </w:p>
        </w:tc>
        <w:tc>
          <w:tcPr>
            <w:tcW w:w="1219"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灵山县沙坪镇双六村委会原民仓仓库</w:t>
            </w:r>
          </w:p>
        </w:tc>
        <w:tc>
          <w:tcPr>
            <w:tcW w:w="1209"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JS3000两套</w:t>
            </w:r>
          </w:p>
        </w:tc>
        <w:tc>
          <w:tcPr>
            <w:tcW w:w="315"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60</w:t>
            </w:r>
          </w:p>
        </w:tc>
        <w:tc>
          <w:tcPr>
            <w:tcW w:w="391"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8</w:t>
            </w:r>
          </w:p>
        </w:tc>
        <w:tc>
          <w:tcPr>
            <w:tcW w:w="232"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 w:type="pct"/>
            <w:vMerge w:val="continue"/>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p>
        </w:tc>
        <w:tc>
          <w:tcPr>
            <w:tcW w:w="200"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9</w:t>
            </w:r>
          </w:p>
        </w:tc>
        <w:tc>
          <w:tcPr>
            <w:tcW w:w="1284"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灵山县华源混凝土有限公司</w:t>
            </w:r>
          </w:p>
        </w:tc>
        <w:tc>
          <w:tcPr>
            <w:tcW w:w="1219"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灵山县武利镇龙塘村委范冲塘</w:t>
            </w:r>
          </w:p>
        </w:tc>
        <w:tc>
          <w:tcPr>
            <w:tcW w:w="1209"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HZS180C8一套</w:t>
            </w:r>
          </w:p>
        </w:tc>
        <w:tc>
          <w:tcPr>
            <w:tcW w:w="315"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30</w:t>
            </w:r>
          </w:p>
        </w:tc>
        <w:tc>
          <w:tcPr>
            <w:tcW w:w="391"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3</w:t>
            </w:r>
          </w:p>
        </w:tc>
        <w:tc>
          <w:tcPr>
            <w:tcW w:w="232"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 w:type="pct"/>
            <w:vMerge w:val="continue"/>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p>
        </w:tc>
        <w:tc>
          <w:tcPr>
            <w:tcW w:w="200"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10</w:t>
            </w:r>
          </w:p>
        </w:tc>
        <w:tc>
          <w:tcPr>
            <w:tcW w:w="1284"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灵山县路路通混凝土有限公司</w:t>
            </w:r>
          </w:p>
        </w:tc>
        <w:tc>
          <w:tcPr>
            <w:tcW w:w="1219"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灵山县三海街道大塘村委扬屋岭</w:t>
            </w:r>
          </w:p>
        </w:tc>
        <w:tc>
          <w:tcPr>
            <w:tcW w:w="1209"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HZS180（两套）</w:t>
            </w:r>
          </w:p>
        </w:tc>
        <w:tc>
          <w:tcPr>
            <w:tcW w:w="315"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60</w:t>
            </w:r>
          </w:p>
        </w:tc>
        <w:tc>
          <w:tcPr>
            <w:tcW w:w="391"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18</w:t>
            </w:r>
          </w:p>
        </w:tc>
        <w:tc>
          <w:tcPr>
            <w:tcW w:w="232"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 w:type="pct"/>
            <w:vMerge w:val="continue"/>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p>
        </w:tc>
        <w:tc>
          <w:tcPr>
            <w:tcW w:w="200"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11</w:t>
            </w:r>
          </w:p>
        </w:tc>
        <w:tc>
          <w:tcPr>
            <w:tcW w:w="1284"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广西灵山晶钻混凝土有限公司</w:t>
            </w:r>
          </w:p>
        </w:tc>
        <w:tc>
          <w:tcPr>
            <w:tcW w:w="1219"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灵山县太平镇大利村马练坪</w:t>
            </w:r>
          </w:p>
        </w:tc>
        <w:tc>
          <w:tcPr>
            <w:tcW w:w="1209"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HZS120(一套）</w:t>
            </w:r>
          </w:p>
        </w:tc>
        <w:tc>
          <w:tcPr>
            <w:tcW w:w="315"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20</w:t>
            </w:r>
          </w:p>
        </w:tc>
        <w:tc>
          <w:tcPr>
            <w:tcW w:w="391"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1</w:t>
            </w:r>
          </w:p>
        </w:tc>
        <w:tc>
          <w:tcPr>
            <w:tcW w:w="232"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 w:type="pct"/>
            <w:vMerge w:val="continue"/>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p>
        </w:tc>
        <w:tc>
          <w:tcPr>
            <w:tcW w:w="200"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12</w:t>
            </w:r>
          </w:p>
        </w:tc>
        <w:tc>
          <w:tcPr>
            <w:tcW w:w="1284"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广西盛凯混凝土有限公司</w:t>
            </w:r>
          </w:p>
        </w:tc>
        <w:tc>
          <w:tcPr>
            <w:tcW w:w="1219"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灵城街道办事处</w:t>
            </w:r>
          </w:p>
        </w:tc>
        <w:tc>
          <w:tcPr>
            <w:tcW w:w="1209"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w:t>
            </w:r>
          </w:p>
        </w:tc>
        <w:tc>
          <w:tcPr>
            <w:tcW w:w="315"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30</w:t>
            </w:r>
          </w:p>
        </w:tc>
        <w:tc>
          <w:tcPr>
            <w:tcW w:w="391"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0</w:t>
            </w:r>
          </w:p>
        </w:tc>
        <w:tc>
          <w:tcPr>
            <w:tcW w:w="232"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停产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 w:type="pct"/>
            <w:vMerge w:val="continue"/>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p>
        </w:tc>
        <w:tc>
          <w:tcPr>
            <w:tcW w:w="200"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1</w:t>
            </w:r>
            <w:r>
              <w:rPr>
                <w:rFonts w:hint="eastAsia" w:ascii="Times New Roman" w:hAnsi="Times New Roman" w:eastAsia="仿宋"/>
                <w:color w:val="000000" w:themeColor="text1"/>
                <w:sz w:val="24"/>
                <w:szCs w:val="24"/>
                <w14:textFill>
                  <w14:solidFill>
                    <w14:schemeClr w14:val="tx1"/>
                  </w14:solidFill>
                </w14:textFill>
              </w:rPr>
              <w:t>3</w:t>
            </w:r>
          </w:p>
        </w:tc>
        <w:tc>
          <w:tcPr>
            <w:tcW w:w="1284"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灵山县汉兴混凝土有限公司</w:t>
            </w:r>
          </w:p>
        </w:tc>
        <w:tc>
          <w:tcPr>
            <w:tcW w:w="1219"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石塘镇</w:t>
            </w:r>
          </w:p>
        </w:tc>
        <w:tc>
          <w:tcPr>
            <w:tcW w:w="1209"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HZS120(一套）</w:t>
            </w:r>
          </w:p>
        </w:tc>
        <w:tc>
          <w:tcPr>
            <w:tcW w:w="315"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20</w:t>
            </w:r>
          </w:p>
        </w:tc>
        <w:tc>
          <w:tcPr>
            <w:tcW w:w="391"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3</w:t>
            </w:r>
          </w:p>
        </w:tc>
        <w:tc>
          <w:tcPr>
            <w:tcW w:w="232" w:type="pct"/>
            <w:vMerge w:val="restar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2021年新增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 w:type="pct"/>
            <w:vMerge w:val="continue"/>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p>
        </w:tc>
        <w:tc>
          <w:tcPr>
            <w:tcW w:w="200"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1</w:t>
            </w:r>
            <w:r>
              <w:rPr>
                <w:rFonts w:hint="eastAsia" w:ascii="Times New Roman" w:hAnsi="Times New Roman" w:eastAsia="仿宋"/>
                <w:color w:val="000000" w:themeColor="text1"/>
                <w:sz w:val="24"/>
                <w:szCs w:val="24"/>
                <w14:textFill>
                  <w14:solidFill>
                    <w14:schemeClr w14:val="tx1"/>
                  </w14:solidFill>
                </w14:textFill>
              </w:rPr>
              <w:t>4</w:t>
            </w:r>
          </w:p>
        </w:tc>
        <w:tc>
          <w:tcPr>
            <w:tcW w:w="1284"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灵山县华泰混凝土有限公司</w:t>
            </w:r>
          </w:p>
        </w:tc>
        <w:tc>
          <w:tcPr>
            <w:tcW w:w="1219"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旧州镇</w:t>
            </w:r>
          </w:p>
        </w:tc>
        <w:tc>
          <w:tcPr>
            <w:tcW w:w="1209"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HZS120(一套）</w:t>
            </w:r>
          </w:p>
        </w:tc>
        <w:tc>
          <w:tcPr>
            <w:tcW w:w="315"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20</w:t>
            </w:r>
          </w:p>
        </w:tc>
        <w:tc>
          <w:tcPr>
            <w:tcW w:w="391"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1</w:t>
            </w:r>
          </w:p>
        </w:tc>
        <w:tc>
          <w:tcPr>
            <w:tcW w:w="232" w:type="pct"/>
            <w:vMerge w:val="continue"/>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 w:type="pct"/>
            <w:vMerge w:val="continue"/>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p>
        </w:tc>
        <w:tc>
          <w:tcPr>
            <w:tcW w:w="200"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1</w:t>
            </w:r>
            <w:r>
              <w:rPr>
                <w:rFonts w:hint="eastAsia" w:ascii="Times New Roman" w:hAnsi="Times New Roman" w:eastAsia="仿宋"/>
                <w:color w:val="000000" w:themeColor="text1"/>
                <w:sz w:val="24"/>
                <w:szCs w:val="24"/>
                <w14:textFill>
                  <w14:solidFill>
                    <w14:schemeClr w14:val="tx1"/>
                  </w14:solidFill>
                </w14:textFill>
              </w:rPr>
              <w:t>5</w:t>
            </w:r>
          </w:p>
        </w:tc>
        <w:tc>
          <w:tcPr>
            <w:tcW w:w="1284"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灵山县建盛混凝土有限责任公司</w:t>
            </w:r>
          </w:p>
        </w:tc>
        <w:tc>
          <w:tcPr>
            <w:tcW w:w="1219"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三隆镇</w:t>
            </w:r>
          </w:p>
        </w:tc>
        <w:tc>
          <w:tcPr>
            <w:tcW w:w="1209"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HZS120(一套）、HZS180(一套）</w:t>
            </w:r>
          </w:p>
        </w:tc>
        <w:tc>
          <w:tcPr>
            <w:tcW w:w="315"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50</w:t>
            </w:r>
          </w:p>
        </w:tc>
        <w:tc>
          <w:tcPr>
            <w:tcW w:w="391"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2</w:t>
            </w:r>
          </w:p>
        </w:tc>
        <w:tc>
          <w:tcPr>
            <w:tcW w:w="232" w:type="pct"/>
            <w:vMerge w:val="continue"/>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 w:type="pct"/>
            <w:vMerge w:val="restar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浦北县</w:t>
            </w:r>
          </w:p>
        </w:tc>
        <w:tc>
          <w:tcPr>
            <w:tcW w:w="200"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16</w:t>
            </w:r>
          </w:p>
        </w:tc>
        <w:tc>
          <w:tcPr>
            <w:tcW w:w="1284"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浦北县华源混凝土有限公司</w:t>
            </w:r>
          </w:p>
        </w:tc>
        <w:tc>
          <w:tcPr>
            <w:tcW w:w="1219"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浦北县张黄镇学堂村委（工业区）</w:t>
            </w:r>
          </w:p>
        </w:tc>
        <w:tc>
          <w:tcPr>
            <w:tcW w:w="1209"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HZS120（</w:t>
            </w:r>
            <w:r>
              <w:rPr>
                <w:rFonts w:hint="eastAsia" w:ascii="Times New Roman" w:hAnsi="Times New Roman" w:eastAsia="仿宋"/>
                <w:color w:val="000000" w:themeColor="text1"/>
                <w:sz w:val="24"/>
                <w:szCs w:val="24"/>
                <w14:textFill>
                  <w14:solidFill>
                    <w14:schemeClr w14:val="tx1"/>
                  </w14:solidFill>
                </w14:textFill>
              </w:rPr>
              <w:t>两</w:t>
            </w:r>
            <w:r>
              <w:rPr>
                <w:rFonts w:ascii="Times New Roman" w:hAnsi="Times New Roman" w:eastAsia="仿宋"/>
                <w:color w:val="000000" w:themeColor="text1"/>
                <w:sz w:val="24"/>
                <w:szCs w:val="24"/>
                <w14:textFill>
                  <w14:solidFill>
                    <w14:schemeClr w14:val="tx1"/>
                  </w14:solidFill>
                </w14:textFill>
              </w:rPr>
              <w:t>套）</w:t>
            </w:r>
          </w:p>
        </w:tc>
        <w:tc>
          <w:tcPr>
            <w:tcW w:w="315"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40</w:t>
            </w:r>
          </w:p>
        </w:tc>
        <w:tc>
          <w:tcPr>
            <w:tcW w:w="391"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8</w:t>
            </w:r>
          </w:p>
        </w:tc>
        <w:tc>
          <w:tcPr>
            <w:tcW w:w="232"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 w:type="pct"/>
            <w:vMerge w:val="continue"/>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p>
        </w:tc>
        <w:tc>
          <w:tcPr>
            <w:tcW w:w="200"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17</w:t>
            </w:r>
          </w:p>
        </w:tc>
        <w:tc>
          <w:tcPr>
            <w:tcW w:w="1284"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浦北县华源建材有限公司</w:t>
            </w:r>
          </w:p>
        </w:tc>
        <w:tc>
          <w:tcPr>
            <w:tcW w:w="1219"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浦北县龙门镇高明村</w:t>
            </w:r>
          </w:p>
        </w:tc>
        <w:tc>
          <w:tcPr>
            <w:tcW w:w="1209"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HZS180C8（一套）</w:t>
            </w:r>
          </w:p>
        </w:tc>
        <w:tc>
          <w:tcPr>
            <w:tcW w:w="315"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30</w:t>
            </w:r>
          </w:p>
        </w:tc>
        <w:tc>
          <w:tcPr>
            <w:tcW w:w="391"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6</w:t>
            </w:r>
          </w:p>
        </w:tc>
        <w:tc>
          <w:tcPr>
            <w:tcW w:w="232"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49" w:type="pct"/>
            <w:vMerge w:val="continue"/>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p>
        </w:tc>
        <w:tc>
          <w:tcPr>
            <w:tcW w:w="200"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18</w:t>
            </w:r>
          </w:p>
        </w:tc>
        <w:tc>
          <w:tcPr>
            <w:tcW w:w="1284"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浦北县海特建材有限公司</w:t>
            </w:r>
          </w:p>
        </w:tc>
        <w:tc>
          <w:tcPr>
            <w:tcW w:w="1219"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浦北县小江镇绕城二级公路边</w:t>
            </w:r>
          </w:p>
        </w:tc>
        <w:tc>
          <w:tcPr>
            <w:tcW w:w="1209"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HZS120(两套）</w:t>
            </w:r>
          </w:p>
        </w:tc>
        <w:tc>
          <w:tcPr>
            <w:tcW w:w="315"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40</w:t>
            </w:r>
          </w:p>
        </w:tc>
        <w:tc>
          <w:tcPr>
            <w:tcW w:w="391"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16</w:t>
            </w:r>
          </w:p>
        </w:tc>
        <w:tc>
          <w:tcPr>
            <w:tcW w:w="232"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 w:type="pct"/>
            <w:vMerge w:val="continue"/>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p>
        </w:tc>
        <w:tc>
          <w:tcPr>
            <w:tcW w:w="200"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19</w:t>
            </w:r>
          </w:p>
        </w:tc>
        <w:tc>
          <w:tcPr>
            <w:tcW w:w="1284"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浦北县绿宝石混凝土有限公司</w:t>
            </w:r>
          </w:p>
        </w:tc>
        <w:tc>
          <w:tcPr>
            <w:tcW w:w="1219"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浦北县城工业区</w:t>
            </w:r>
          </w:p>
        </w:tc>
        <w:tc>
          <w:tcPr>
            <w:tcW w:w="1209"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HZS120(三套）</w:t>
            </w:r>
          </w:p>
        </w:tc>
        <w:tc>
          <w:tcPr>
            <w:tcW w:w="315"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60</w:t>
            </w:r>
          </w:p>
        </w:tc>
        <w:tc>
          <w:tcPr>
            <w:tcW w:w="391"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20</w:t>
            </w:r>
          </w:p>
        </w:tc>
        <w:tc>
          <w:tcPr>
            <w:tcW w:w="232"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 w:type="pct"/>
            <w:vMerge w:val="continue"/>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p>
        </w:tc>
        <w:tc>
          <w:tcPr>
            <w:tcW w:w="200"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20</w:t>
            </w:r>
          </w:p>
        </w:tc>
        <w:tc>
          <w:tcPr>
            <w:tcW w:w="1284"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浦北县诚华建材有限公司</w:t>
            </w:r>
          </w:p>
        </w:tc>
        <w:tc>
          <w:tcPr>
            <w:tcW w:w="1219"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FF0000"/>
                <w:sz w:val="24"/>
                <w:szCs w:val="24"/>
              </w:rPr>
              <w:t>浦北县小江镇</w:t>
            </w:r>
          </w:p>
        </w:tc>
        <w:tc>
          <w:tcPr>
            <w:tcW w:w="1209"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MAO3000/2000SDYCO（一套）</w:t>
            </w:r>
          </w:p>
        </w:tc>
        <w:tc>
          <w:tcPr>
            <w:tcW w:w="315"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20</w:t>
            </w:r>
          </w:p>
        </w:tc>
        <w:tc>
          <w:tcPr>
            <w:tcW w:w="391"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3</w:t>
            </w:r>
          </w:p>
        </w:tc>
        <w:tc>
          <w:tcPr>
            <w:tcW w:w="232"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 w:type="pct"/>
            <w:vMerge w:val="continue"/>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p>
        </w:tc>
        <w:tc>
          <w:tcPr>
            <w:tcW w:w="200"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2</w:t>
            </w:r>
            <w:r>
              <w:rPr>
                <w:rFonts w:hint="eastAsia" w:ascii="Times New Roman" w:hAnsi="Times New Roman" w:eastAsia="仿宋"/>
                <w:color w:val="000000" w:themeColor="text1"/>
                <w:sz w:val="24"/>
                <w:szCs w:val="24"/>
                <w14:textFill>
                  <w14:solidFill>
                    <w14:schemeClr w14:val="tx1"/>
                  </w14:solidFill>
                </w14:textFill>
              </w:rPr>
              <w:t>1</w:t>
            </w:r>
          </w:p>
        </w:tc>
        <w:tc>
          <w:tcPr>
            <w:tcW w:w="1284"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浦北绿宝石大江口搅拌站</w:t>
            </w:r>
          </w:p>
        </w:tc>
        <w:tc>
          <w:tcPr>
            <w:tcW w:w="1219"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浦北县寨圩镇</w:t>
            </w:r>
          </w:p>
        </w:tc>
        <w:tc>
          <w:tcPr>
            <w:tcW w:w="1209"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HZS120(一套）</w:t>
            </w:r>
          </w:p>
        </w:tc>
        <w:tc>
          <w:tcPr>
            <w:tcW w:w="315"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20</w:t>
            </w:r>
          </w:p>
        </w:tc>
        <w:tc>
          <w:tcPr>
            <w:tcW w:w="391"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5</w:t>
            </w:r>
          </w:p>
        </w:tc>
        <w:tc>
          <w:tcPr>
            <w:tcW w:w="232"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 w:type="pct"/>
            <w:vMerge w:val="continue"/>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p>
        </w:tc>
        <w:tc>
          <w:tcPr>
            <w:tcW w:w="200"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2</w:t>
            </w:r>
            <w:r>
              <w:rPr>
                <w:rFonts w:hint="eastAsia" w:ascii="Times New Roman" w:hAnsi="Times New Roman" w:eastAsia="仿宋"/>
                <w:color w:val="000000" w:themeColor="text1"/>
                <w:sz w:val="24"/>
                <w:szCs w:val="24"/>
                <w14:textFill>
                  <w14:solidFill>
                    <w14:schemeClr w14:val="tx1"/>
                  </w14:solidFill>
                </w14:textFill>
              </w:rPr>
              <w:t>2</w:t>
            </w:r>
          </w:p>
        </w:tc>
        <w:tc>
          <w:tcPr>
            <w:tcW w:w="1284"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浦北县源源建材有限公司</w:t>
            </w:r>
          </w:p>
        </w:tc>
        <w:tc>
          <w:tcPr>
            <w:tcW w:w="1219"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浦北县寨圩镇城东工业区独珠坡碗厂</w:t>
            </w:r>
          </w:p>
        </w:tc>
        <w:tc>
          <w:tcPr>
            <w:tcW w:w="1209"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南方路机sL120</w:t>
            </w:r>
          </w:p>
        </w:tc>
        <w:tc>
          <w:tcPr>
            <w:tcW w:w="315"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20</w:t>
            </w:r>
          </w:p>
        </w:tc>
        <w:tc>
          <w:tcPr>
            <w:tcW w:w="391"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3</w:t>
            </w:r>
          </w:p>
        </w:tc>
        <w:tc>
          <w:tcPr>
            <w:tcW w:w="232"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 w:type="pct"/>
            <w:vMerge w:val="continue"/>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p>
        </w:tc>
        <w:tc>
          <w:tcPr>
            <w:tcW w:w="200"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2</w:t>
            </w:r>
            <w:r>
              <w:rPr>
                <w:rFonts w:hint="eastAsia" w:ascii="Times New Roman" w:hAnsi="Times New Roman" w:eastAsia="仿宋"/>
                <w:color w:val="000000" w:themeColor="text1"/>
                <w:sz w:val="24"/>
                <w:szCs w:val="24"/>
                <w14:textFill>
                  <w14:solidFill>
                    <w14:schemeClr w14:val="tx1"/>
                  </w14:solidFill>
                </w14:textFill>
              </w:rPr>
              <w:t>3</w:t>
            </w:r>
          </w:p>
        </w:tc>
        <w:tc>
          <w:tcPr>
            <w:tcW w:w="1284"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浦北县弘利混凝土有限公司</w:t>
            </w:r>
          </w:p>
        </w:tc>
        <w:tc>
          <w:tcPr>
            <w:tcW w:w="1219"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浦北县乐民镇平佳六黎小区8号</w:t>
            </w:r>
          </w:p>
        </w:tc>
        <w:tc>
          <w:tcPr>
            <w:tcW w:w="1209"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Hzs120</w:t>
            </w:r>
          </w:p>
        </w:tc>
        <w:tc>
          <w:tcPr>
            <w:tcW w:w="315"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20</w:t>
            </w:r>
          </w:p>
        </w:tc>
        <w:tc>
          <w:tcPr>
            <w:tcW w:w="391"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4</w:t>
            </w:r>
          </w:p>
        </w:tc>
        <w:tc>
          <w:tcPr>
            <w:tcW w:w="232"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 w:type="pct"/>
            <w:vMerge w:val="continue"/>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p>
        </w:tc>
        <w:tc>
          <w:tcPr>
            <w:tcW w:w="200"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2</w:t>
            </w:r>
            <w:r>
              <w:rPr>
                <w:rFonts w:hint="eastAsia" w:ascii="Times New Roman" w:hAnsi="Times New Roman" w:eastAsia="仿宋"/>
                <w:color w:val="000000" w:themeColor="text1"/>
                <w:sz w:val="24"/>
                <w:szCs w:val="24"/>
                <w14:textFill>
                  <w14:solidFill>
                    <w14:schemeClr w14:val="tx1"/>
                  </w14:solidFill>
                </w14:textFill>
              </w:rPr>
              <w:t>4</w:t>
            </w:r>
          </w:p>
        </w:tc>
        <w:tc>
          <w:tcPr>
            <w:tcW w:w="1284"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浦北县东辰混凝土有限公司</w:t>
            </w:r>
          </w:p>
        </w:tc>
        <w:tc>
          <w:tcPr>
            <w:tcW w:w="1219"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浦北县福旺镇福旺村委会三叉塘</w:t>
            </w:r>
          </w:p>
        </w:tc>
        <w:tc>
          <w:tcPr>
            <w:tcW w:w="1209"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Hzs120f8</w:t>
            </w:r>
          </w:p>
        </w:tc>
        <w:tc>
          <w:tcPr>
            <w:tcW w:w="315"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20</w:t>
            </w:r>
          </w:p>
        </w:tc>
        <w:tc>
          <w:tcPr>
            <w:tcW w:w="391"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2</w:t>
            </w:r>
          </w:p>
        </w:tc>
        <w:tc>
          <w:tcPr>
            <w:tcW w:w="232"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 w:type="pct"/>
            <w:vMerge w:val="continue"/>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p>
        </w:tc>
        <w:tc>
          <w:tcPr>
            <w:tcW w:w="200"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2</w:t>
            </w:r>
            <w:r>
              <w:rPr>
                <w:rFonts w:hint="eastAsia" w:ascii="Times New Roman" w:hAnsi="Times New Roman" w:eastAsia="仿宋"/>
                <w:color w:val="000000" w:themeColor="text1"/>
                <w:sz w:val="24"/>
                <w:szCs w:val="24"/>
                <w14:textFill>
                  <w14:solidFill>
                    <w14:schemeClr w14:val="tx1"/>
                  </w14:solidFill>
                </w14:textFill>
              </w:rPr>
              <w:t>5</w:t>
            </w:r>
          </w:p>
        </w:tc>
        <w:tc>
          <w:tcPr>
            <w:tcW w:w="1284"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浦北县永固混凝土有限公司</w:t>
            </w:r>
          </w:p>
        </w:tc>
        <w:tc>
          <w:tcPr>
            <w:tcW w:w="1219"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FF0000"/>
                <w:sz w:val="24"/>
                <w:szCs w:val="24"/>
              </w:rPr>
              <w:t>浦北县龙门镇高明村</w:t>
            </w:r>
          </w:p>
        </w:tc>
        <w:tc>
          <w:tcPr>
            <w:tcW w:w="1209"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MAO3000/2000SDYCO（一套）</w:t>
            </w:r>
          </w:p>
        </w:tc>
        <w:tc>
          <w:tcPr>
            <w:tcW w:w="315"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20</w:t>
            </w:r>
          </w:p>
        </w:tc>
        <w:tc>
          <w:tcPr>
            <w:tcW w:w="391"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3</w:t>
            </w:r>
          </w:p>
        </w:tc>
        <w:tc>
          <w:tcPr>
            <w:tcW w:w="232"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1" w:hRule="atLeast"/>
        </w:trPr>
        <w:tc>
          <w:tcPr>
            <w:tcW w:w="149" w:type="pct"/>
            <w:vMerge w:val="restar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钦南区</w:t>
            </w:r>
          </w:p>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p>
        </w:tc>
        <w:tc>
          <w:tcPr>
            <w:tcW w:w="200"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26</w:t>
            </w:r>
          </w:p>
        </w:tc>
        <w:tc>
          <w:tcPr>
            <w:tcW w:w="1284"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钦州市桂建建材有限公司</w:t>
            </w:r>
          </w:p>
        </w:tc>
        <w:tc>
          <w:tcPr>
            <w:tcW w:w="1219"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钦州市钦南区黎合江工业园一区</w:t>
            </w:r>
          </w:p>
        </w:tc>
        <w:tc>
          <w:tcPr>
            <w:tcW w:w="1209"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三一重工JS3000E（两套）</w:t>
            </w:r>
          </w:p>
        </w:tc>
        <w:tc>
          <w:tcPr>
            <w:tcW w:w="315"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60</w:t>
            </w:r>
          </w:p>
        </w:tc>
        <w:tc>
          <w:tcPr>
            <w:tcW w:w="391" w:type="pct"/>
            <w:vAlign w:val="center"/>
          </w:tcPr>
          <w:p>
            <w:pPr>
              <w:adjustRightInd w:val="0"/>
              <w:snapToGrid w:val="0"/>
              <w:jc w:val="center"/>
              <w:rPr>
                <w:rFonts w:ascii="Times New Roman" w:hAnsi="Times New Roman" w:eastAsia="仿宋"/>
                <w:color w:val="000000" w:themeColor="text1"/>
                <w:sz w:val="24"/>
                <w14:textFill>
                  <w14:solidFill>
                    <w14:schemeClr w14:val="tx1"/>
                  </w14:solidFill>
                </w14:textFill>
              </w:rPr>
            </w:pPr>
            <w:r>
              <w:rPr>
                <w:rFonts w:ascii="Times New Roman" w:hAnsi="Times New Roman" w:eastAsia="仿宋"/>
                <w:color w:val="000000" w:themeColor="text1"/>
                <w:sz w:val="24"/>
                <w14:textFill>
                  <w14:solidFill>
                    <w14:schemeClr w14:val="tx1"/>
                  </w14:solidFill>
                </w14:textFill>
              </w:rPr>
              <w:t>10</w:t>
            </w:r>
          </w:p>
        </w:tc>
        <w:tc>
          <w:tcPr>
            <w:tcW w:w="232"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 w:type="pct"/>
            <w:vMerge w:val="continue"/>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p>
        </w:tc>
        <w:tc>
          <w:tcPr>
            <w:tcW w:w="200"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27</w:t>
            </w:r>
          </w:p>
        </w:tc>
        <w:tc>
          <w:tcPr>
            <w:tcW w:w="1284"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钦州市</w:t>
            </w:r>
            <w:r>
              <w:rPr>
                <w:rFonts w:hint="eastAsia" w:ascii="Times New Roman" w:hAnsi="Times New Roman" w:eastAsia="仿宋"/>
                <w:color w:val="000000" w:themeColor="text1"/>
                <w:sz w:val="24"/>
                <w:szCs w:val="24"/>
                <w14:textFill>
                  <w14:solidFill>
                    <w14:schemeClr w14:val="tx1"/>
                  </w14:solidFill>
                </w14:textFill>
              </w:rPr>
              <w:t>钦南区</w:t>
            </w:r>
            <w:r>
              <w:rPr>
                <w:rFonts w:ascii="Times New Roman" w:hAnsi="Times New Roman" w:eastAsia="仿宋"/>
                <w:color w:val="000000" w:themeColor="text1"/>
                <w:sz w:val="24"/>
                <w:szCs w:val="24"/>
                <w14:textFill>
                  <w14:solidFill>
                    <w14:schemeClr w14:val="tx1"/>
                  </w14:solidFill>
                </w14:textFill>
              </w:rPr>
              <w:t>海特</w:t>
            </w:r>
            <w:r>
              <w:rPr>
                <w:rFonts w:hint="eastAsia" w:ascii="Times New Roman" w:hAnsi="Times New Roman" w:eastAsia="仿宋"/>
                <w:color w:val="000000" w:themeColor="text1"/>
                <w:sz w:val="24"/>
                <w:szCs w:val="24"/>
                <w14:textFill>
                  <w14:solidFill>
                    <w14:schemeClr w14:val="tx1"/>
                  </w14:solidFill>
                </w14:textFill>
              </w:rPr>
              <w:t>水泥制品厂</w:t>
            </w:r>
          </w:p>
        </w:tc>
        <w:tc>
          <w:tcPr>
            <w:tcW w:w="1219"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钦州市钦南区沙埠镇桥坪村委</w:t>
            </w:r>
          </w:p>
        </w:tc>
        <w:tc>
          <w:tcPr>
            <w:tcW w:w="1209"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HZS180（一套）、HZS240（一套）</w:t>
            </w:r>
          </w:p>
        </w:tc>
        <w:tc>
          <w:tcPr>
            <w:tcW w:w="315"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70</w:t>
            </w:r>
          </w:p>
        </w:tc>
        <w:tc>
          <w:tcPr>
            <w:tcW w:w="391" w:type="pct"/>
            <w:vAlign w:val="center"/>
          </w:tcPr>
          <w:p>
            <w:pPr>
              <w:adjustRightInd w:val="0"/>
              <w:snapToGrid w:val="0"/>
              <w:jc w:val="center"/>
              <w:rPr>
                <w:rFonts w:ascii="Times New Roman" w:hAnsi="Times New Roman" w:eastAsia="仿宋"/>
                <w:color w:val="000000" w:themeColor="text1"/>
                <w:sz w:val="24"/>
                <w14:textFill>
                  <w14:solidFill>
                    <w14:schemeClr w14:val="tx1"/>
                  </w14:solidFill>
                </w14:textFill>
              </w:rPr>
            </w:pPr>
            <w:r>
              <w:rPr>
                <w:rFonts w:ascii="Times New Roman" w:hAnsi="Times New Roman" w:eastAsia="仿宋"/>
                <w:color w:val="000000" w:themeColor="text1"/>
                <w:sz w:val="24"/>
                <w14:textFill>
                  <w14:solidFill>
                    <w14:schemeClr w14:val="tx1"/>
                  </w14:solidFill>
                </w14:textFill>
              </w:rPr>
              <w:t>19</w:t>
            </w:r>
          </w:p>
        </w:tc>
        <w:tc>
          <w:tcPr>
            <w:tcW w:w="232"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 w:type="pct"/>
            <w:vMerge w:val="continue"/>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p>
        </w:tc>
        <w:tc>
          <w:tcPr>
            <w:tcW w:w="200"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28</w:t>
            </w:r>
          </w:p>
        </w:tc>
        <w:tc>
          <w:tcPr>
            <w:tcW w:w="1284"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钦州市广联混凝土有限公司</w:t>
            </w:r>
          </w:p>
        </w:tc>
        <w:tc>
          <w:tcPr>
            <w:tcW w:w="1219"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钦州市</w:t>
            </w:r>
            <w:r>
              <w:rPr>
                <w:rFonts w:hint="eastAsia" w:ascii="Times New Roman" w:hAnsi="Times New Roman" w:eastAsia="仿宋"/>
                <w:color w:val="000000" w:themeColor="text1"/>
                <w:sz w:val="24"/>
                <w:szCs w:val="24"/>
                <w14:textFill>
                  <w14:solidFill>
                    <w14:schemeClr w14:val="tx1"/>
                  </w14:solidFill>
                </w14:textFill>
              </w:rPr>
              <w:t>黎合江工业园区内</w:t>
            </w:r>
          </w:p>
        </w:tc>
        <w:tc>
          <w:tcPr>
            <w:tcW w:w="1209"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MAO6750/4500SDYCO—ZLS（一套）；SICOMAHZS300（两套）</w:t>
            </w:r>
          </w:p>
        </w:tc>
        <w:tc>
          <w:tcPr>
            <w:tcW w:w="315"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105</w:t>
            </w:r>
          </w:p>
        </w:tc>
        <w:tc>
          <w:tcPr>
            <w:tcW w:w="391" w:type="pct"/>
            <w:vAlign w:val="center"/>
          </w:tcPr>
          <w:p>
            <w:pPr>
              <w:adjustRightInd w:val="0"/>
              <w:snapToGrid w:val="0"/>
              <w:jc w:val="center"/>
              <w:rPr>
                <w:rFonts w:ascii="Times New Roman" w:hAnsi="Times New Roman" w:eastAsia="仿宋"/>
                <w:color w:val="000000" w:themeColor="text1"/>
                <w:sz w:val="24"/>
                <w14:textFill>
                  <w14:solidFill>
                    <w14:schemeClr w14:val="tx1"/>
                  </w14:solidFill>
                </w14:textFill>
              </w:rPr>
            </w:pPr>
            <w:r>
              <w:rPr>
                <w:rFonts w:ascii="Times New Roman" w:hAnsi="Times New Roman" w:eastAsia="仿宋"/>
                <w:color w:val="000000" w:themeColor="text1"/>
                <w:sz w:val="24"/>
                <w14:textFill>
                  <w14:solidFill>
                    <w14:schemeClr w14:val="tx1"/>
                  </w14:solidFill>
                </w14:textFill>
              </w:rPr>
              <w:t>30</w:t>
            </w:r>
          </w:p>
        </w:tc>
        <w:tc>
          <w:tcPr>
            <w:tcW w:w="232"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 w:type="pct"/>
            <w:vMerge w:val="continue"/>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p>
        </w:tc>
        <w:tc>
          <w:tcPr>
            <w:tcW w:w="200"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29</w:t>
            </w:r>
          </w:p>
        </w:tc>
        <w:tc>
          <w:tcPr>
            <w:tcW w:w="1284"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钦州市长荣混凝土有限公司</w:t>
            </w:r>
          </w:p>
        </w:tc>
        <w:tc>
          <w:tcPr>
            <w:tcW w:w="1219"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钦州市黎合江工业园一区</w:t>
            </w:r>
          </w:p>
        </w:tc>
        <w:tc>
          <w:tcPr>
            <w:tcW w:w="1209"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MA04500/3000SDYC0（一套）、JS3000（一套）</w:t>
            </w:r>
          </w:p>
        </w:tc>
        <w:tc>
          <w:tcPr>
            <w:tcW w:w="315"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60</w:t>
            </w:r>
          </w:p>
        </w:tc>
        <w:tc>
          <w:tcPr>
            <w:tcW w:w="391" w:type="pct"/>
            <w:vAlign w:val="center"/>
          </w:tcPr>
          <w:p>
            <w:pPr>
              <w:adjustRightInd w:val="0"/>
              <w:snapToGrid w:val="0"/>
              <w:jc w:val="center"/>
              <w:rPr>
                <w:rFonts w:ascii="Times New Roman" w:hAnsi="Times New Roman" w:eastAsia="仿宋"/>
                <w:color w:val="000000" w:themeColor="text1"/>
                <w:sz w:val="24"/>
                <w14:textFill>
                  <w14:solidFill>
                    <w14:schemeClr w14:val="tx1"/>
                  </w14:solidFill>
                </w14:textFill>
              </w:rPr>
            </w:pPr>
            <w:r>
              <w:rPr>
                <w:rFonts w:ascii="Times New Roman" w:hAnsi="Times New Roman" w:eastAsia="仿宋"/>
                <w:color w:val="000000" w:themeColor="text1"/>
                <w:sz w:val="24"/>
                <w14:textFill>
                  <w14:solidFill>
                    <w14:schemeClr w14:val="tx1"/>
                  </w14:solidFill>
                </w14:textFill>
              </w:rPr>
              <w:t>8</w:t>
            </w:r>
          </w:p>
        </w:tc>
        <w:tc>
          <w:tcPr>
            <w:tcW w:w="232"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9" w:type="pct"/>
            <w:vMerge w:val="continue"/>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p>
        </w:tc>
        <w:tc>
          <w:tcPr>
            <w:tcW w:w="200"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30</w:t>
            </w:r>
          </w:p>
        </w:tc>
        <w:tc>
          <w:tcPr>
            <w:tcW w:w="1284"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钦州</w:t>
            </w:r>
            <w:r>
              <w:rPr>
                <w:rFonts w:ascii="Times New Roman" w:hAnsi="Times New Roman" w:eastAsia="仿宋"/>
                <w:color w:val="000000" w:themeColor="text1"/>
                <w:sz w:val="24"/>
                <w:szCs w:val="24"/>
                <w14:textFill>
                  <w14:solidFill>
                    <w14:schemeClr w14:val="tx1"/>
                  </w14:solidFill>
                </w14:textFill>
              </w:rPr>
              <w:t>北部湾混凝土有限公司</w:t>
            </w:r>
          </w:p>
        </w:tc>
        <w:tc>
          <w:tcPr>
            <w:tcW w:w="1219"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钦州市钦南区</w:t>
            </w:r>
            <w:r>
              <w:rPr>
                <w:rFonts w:hint="eastAsia" w:ascii="Times New Roman" w:hAnsi="Times New Roman" w:eastAsia="仿宋"/>
                <w:color w:val="000000" w:themeColor="text1"/>
                <w:sz w:val="24"/>
                <w:szCs w:val="24"/>
                <w14:textFill>
                  <w14:solidFill>
                    <w14:schemeClr w14:val="tx1"/>
                  </w14:solidFill>
                </w14:textFill>
              </w:rPr>
              <w:t>黄屋屯工业走廊</w:t>
            </w:r>
          </w:p>
        </w:tc>
        <w:tc>
          <w:tcPr>
            <w:tcW w:w="1209"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HZS180(两套）</w:t>
            </w:r>
          </w:p>
        </w:tc>
        <w:tc>
          <w:tcPr>
            <w:tcW w:w="315"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60</w:t>
            </w:r>
          </w:p>
        </w:tc>
        <w:tc>
          <w:tcPr>
            <w:tcW w:w="391" w:type="pct"/>
            <w:vAlign w:val="center"/>
          </w:tcPr>
          <w:p>
            <w:pPr>
              <w:adjustRightInd w:val="0"/>
              <w:snapToGrid w:val="0"/>
              <w:jc w:val="center"/>
              <w:rPr>
                <w:rFonts w:ascii="Times New Roman" w:hAnsi="Times New Roman" w:eastAsia="仿宋"/>
                <w:color w:val="000000" w:themeColor="text1"/>
                <w:sz w:val="24"/>
                <w14:textFill>
                  <w14:solidFill>
                    <w14:schemeClr w14:val="tx1"/>
                  </w14:solidFill>
                </w14:textFill>
              </w:rPr>
            </w:pPr>
            <w:r>
              <w:rPr>
                <w:rFonts w:hint="eastAsia" w:ascii="Times New Roman" w:hAnsi="Times New Roman" w:eastAsia="仿宋"/>
                <w:color w:val="000000" w:themeColor="text1"/>
                <w:sz w:val="24"/>
                <w14:textFill>
                  <w14:solidFill>
                    <w14:schemeClr w14:val="tx1"/>
                  </w14:solidFill>
                </w14:textFill>
              </w:rPr>
              <w:t>10</w:t>
            </w:r>
          </w:p>
        </w:tc>
        <w:tc>
          <w:tcPr>
            <w:tcW w:w="232"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 w:type="pct"/>
            <w:vMerge w:val="continue"/>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p>
        </w:tc>
        <w:tc>
          <w:tcPr>
            <w:tcW w:w="200"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31</w:t>
            </w:r>
          </w:p>
        </w:tc>
        <w:tc>
          <w:tcPr>
            <w:tcW w:w="1284"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钦州市华盛混凝土有限公司</w:t>
            </w:r>
          </w:p>
        </w:tc>
        <w:tc>
          <w:tcPr>
            <w:tcW w:w="1219"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钦州市黎合江工业园一区</w:t>
            </w:r>
          </w:p>
        </w:tc>
        <w:tc>
          <w:tcPr>
            <w:tcW w:w="1209"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MA04500/3000SDSH0（两套）</w:t>
            </w:r>
          </w:p>
        </w:tc>
        <w:tc>
          <w:tcPr>
            <w:tcW w:w="315"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60</w:t>
            </w:r>
          </w:p>
        </w:tc>
        <w:tc>
          <w:tcPr>
            <w:tcW w:w="391" w:type="pct"/>
            <w:vAlign w:val="center"/>
          </w:tcPr>
          <w:p>
            <w:pPr>
              <w:adjustRightInd w:val="0"/>
              <w:snapToGrid w:val="0"/>
              <w:jc w:val="center"/>
              <w:rPr>
                <w:rFonts w:ascii="Times New Roman" w:hAnsi="Times New Roman" w:eastAsia="仿宋"/>
                <w:color w:val="000000" w:themeColor="text1"/>
                <w:sz w:val="24"/>
                <w14:textFill>
                  <w14:solidFill>
                    <w14:schemeClr w14:val="tx1"/>
                  </w14:solidFill>
                </w14:textFill>
              </w:rPr>
            </w:pPr>
            <w:r>
              <w:rPr>
                <w:rFonts w:ascii="Times New Roman" w:hAnsi="Times New Roman" w:eastAsia="仿宋"/>
                <w:color w:val="000000" w:themeColor="text1"/>
                <w:sz w:val="24"/>
                <w14:textFill>
                  <w14:solidFill>
                    <w14:schemeClr w14:val="tx1"/>
                  </w14:solidFill>
                </w14:textFill>
              </w:rPr>
              <w:t>29</w:t>
            </w:r>
          </w:p>
        </w:tc>
        <w:tc>
          <w:tcPr>
            <w:tcW w:w="232"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 w:type="pct"/>
            <w:vMerge w:val="continue"/>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p>
        </w:tc>
        <w:tc>
          <w:tcPr>
            <w:tcW w:w="200"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32</w:t>
            </w:r>
          </w:p>
        </w:tc>
        <w:tc>
          <w:tcPr>
            <w:tcW w:w="1284"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钦州市宏冠建筑材料有限公司</w:t>
            </w:r>
          </w:p>
        </w:tc>
        <w:tc>
          <w:tcPr>
            <w:tcW w:w="1219"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钦州市黎合江工业园</w:t>
            </w:r>
          </w:p>
        </w:tc>
        <w:tc>
          <w:tcPr>
            <w:tcW w:w="1209"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HZS240（两套）</w:t>
            </w:r>
          </w:p>
        </w:tc>
        <w:tc>
          <w:tcPr>
            <w:tcW w:w="315"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80</w:t>
            </w:r>
          </w:p>
        </w:tc>
        <w:tc>
          <w:tcPr>
            <w:tcW w:w="391" w:type="pct"/>
            <w:vAlign w:val="center"/>
          </w:tcPr>
          <w:p>
            <w:pPr>
              <w:adjustRightInd w:val="0"/>
              <w:snapToGrid w:val="0"/>
              <w:jc w:val="center"/>
              <w:rPr>
                <w:rFonts w:ascii="Times New Roman" w:hAnsi="Times New Roman" w:eastAsia="仿宋"/>
                <w:color w:val="000000" w:themeColor="text1"/>
                <w:sz w:val="24"/>
                <w14:textFill>
                  <w14:solidFill>
                    <w14:schemeClr w14:val="tx1"/>
                  </w14:solidFill>
                </w14:textFill>
              </w:rPr>
            </w:pPr>
            <w:r>
              <w:rPr>
                <w:rFonts w:ascii="Times New Roman" w:hAnsi="Times New Roman" w:eastAsia="仿宋"/>
                <w:color w:val="000000" w:themeColor="text1"/>
                <w:sz w:val="24"/>
                <w14:textFill>
                  <w14:solidFill>
                    <w14:schemeClr w14:val="tx1"/>
                  </w14:solidFill>
                </w14:textFill>
              </w:rPr>
              <w:t>3</w:t>
            </w:r>
            <w:r>
              <w:rPr>
                <w:rFonts w:hint="eastAsia" w:ascii="Times New Roman" w:hAnsi="Times New Roman" w:eastAsia="仿宋"/>
                <w:color w:val="000000" w:themeColor="text1"/>
                <w:sz w:val="24"/>
                <w14:textFill>
                  <w14:solidFill>
                    <w14:schemeClr w14:val="tx1"/>
                  </w14:solidFill>
                </w14:textFill>
              </w:rPr>
              <w:t>5</w:t>
            </w:r>
          </w:p>
        </w:tc>
        <w:tc>
          <w:tcPr>
            <w:tcW w:w="232"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 w:type="pct"/>
            <w:vMerge w:val="continue"/>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p>
        </w:tc>
        <w:tc>
          <w:tcPr>
            <w:tcW w:w="200"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33</w:t>
            </w:r>
          </w:p>
        </w:tc>
        <w:tc>
          <w:tcPr>
            <w:tcW w:w="1284"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广西智朗商品混凝土有限公司</w:t>
            </w:r>
          </w:p>
        </w:tc>
        <w:tc>
          <w:tcPr>
            <w:tcW w:w="1219"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钦州市进口资源加工区钦南片区西南面、钦犀二级公路西侧</w:t>
            </w:r>
          </w:p>
        </w:tc>
        <w:tc>
          <w:tcPr>
            <w:tcW w:w="1209"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JS3000（三套）</w:t>
            </w:r>
          </w:p>
        </w:tc>
        <w:tc>
          <w:tcPr>
            <w:tcW w:w="315"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60</w:t>
            </w:r>
          </w:p>
        </w:tc>
        <w:tc>
          <w:tcPr>
            <w:tcW w:w="391" w:type="pct"/>
            <w:vAlign w:val="center"/>
          </w:tcPr>
          <w:p>
            <w:pPr>
              <w:adjustRightInd w:val="0"/>
              <w:snapToGrid w:val="0"/>
              <w:jc w:val="center"/>
              <w:rPr>
                <w:rFonts w:ascii="Times New Roman" w:hAnsi="Times New Roman" w:eastAsia="仿宋"/>
                <w:color w:val="000000" w:themeColor="text1"/>
                <w:sz w:val="24"/>
                <w14:textFill>
                  <w14:solidFill>
                    <w14:schemeClr w14:val="tx1"/>
                  </w14:solidFill>
                </w14:textFill>
              </w:rPr>
            </w:pPr>
            <w:r>
              <w:rPr>
                <w:rFonts w:hint="eastAsia" w:ascii="Times New Roman" w:hAnsi="Times New Roman" w:eastAsia="仿宋"/>
                <w:color w:val="000000" w:themeColor="text1"/>
                <w:sz w:val="24"/>
                <w14:textFill>
                  <w14:solidFill>
                    <w14:schemeClr w14:val="tx1"/>
                  </w14:solidFill>
                </w14:textFill>
              </w:rPr>
              <w:t>21</w:t>
            </w:r>
          </w:p>
        </w:tc>
        <w:tc>
          <w:tcPr>
            <w:tcW w:w="232"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trPr>
        <w:tc>
          <w:tcPr>
            <w:tcW w:w="149" w:type="pct"/>
            <w:vMerge w:val="continue"/>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p>
        </w:tc>
        <w:tc>
          <w:tcPr>
            <w:tcW w:w="200"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34</w:t>
            </w:r>
          </w:p>
        </w:tc>
        <w:tc>
          <w:tcPr>
            <w:tcW w:w="1284"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钦州市中德顺新型建筑材料有限公司</w:t>
            </w:r>
          </w:p>
        </w:tc>
        <w:tc>
          <w:tcPr>
            <w:tcW w:w="1219"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钦州市钦南区黄屋屯工业走廊</w:t>
            </w:r>
          </w:p>
        </w:tc>
        <w:tc>
          <w:tcPr>
            <w:tcW w:w="1209"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JS3000（两套）</w:t>
            </w:r>
          </w:p>
        </w:tc>
        <w:tc>
          <w:tcPr>
            <w:tcW w:w="315"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60</w:t>
            </w:r>
          </w:p>
        </w:tc>
        <w:tc>
          <w:tcPr>
            <w:tcW w:w="391" w:type="pct"/>
            <w:vAlign w:val="center"/>
          </w:tcPr>
          <w:p>
            <w:pPr>
              <w:adjustRightInd w:val="0"/>
              <w:snapToGrid w:val="0"/>
              <w:jc w:val="center"/>
              <w:rPr>
                <w:rFonts w:ascii="Times New Roman" w:hAnsi="Times New Roman" w:eastAsia="仿宋"/>
                <w:color w:val="000000" w:themeColor="text1"/>
                <w:sz w:val="24"/>
                <w14:textFill>
                  <w14:solidFill>
                    <w14:schemeClr w14:val="tx1"/>
                  </w14:solidFill>
                </w14:textFill>
              </w:rPr>
            </w:pPr>
            <w:r>
              <w:rPr>
                <w:rFonts w:hint="eastAsia" w:ascii="Times New Roman" w:hAnsi="Times New Roman" w:eastAsia="仿宋"/>
                <w:color w:val="000000" w:themeColor="text1"/>
                <w:sz w:val="24"/>
                <w14:textFill>
                  <w14:solidFill>
                    <w14:schemeClr w14:val="tx1"/>
                  </w14:solidFill>
                </w14:textFill>
              </w:rPr>
              <w:t>1</w:t>
            </w:r>
          </w:p>
        </w:tc>
        <w:tc>
          <w:tcPr>
            <w:tcW w:w="232"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trPr>
        <w:tc>
          <w:tcPr>
            <w:tcW w:w="149" w:type="pct"/>
            <w:vMerge w:val="continue"/>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p>
        </w:tc>
        <w:tc>
          <w:tcPr>
            <w:tcW w:w="200"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35</w:t>
            </w:r>
          </w:p>
        </w:tc>
        <w:tc>
          <w:tcPr>
            <w:tcW w:w="1284"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钦州市嘉德混凝土有限公司</w:t>
            </w:r>
          </w:p>
        </w:tc>
        <w:tc>
          <w:tcPr>
            <w:tcW w:w="1219"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钦南区西环南路广西钦州水泥有限公司责任公司内</w:t>
            </w:r>
          </w:p>
        </w:tc>
        <w:tc>
          <w:tcPr>
            <w:tcW w:w="1209"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混凝土搅拌机HZS180C8H</w:t>
            </w:r>
          </w:p>
        </w:tc>
        <w:tc>
          <w:tcPr>
            <w:tcW w:w="315"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60</w:t>
            </w:r>
          </w:p>
        </w:tc>
        <w:tc>
          <w:tcPr>
            <w:tcW w:w="391" w:type="pct"/>
            <w:vAlign w:val="center"/>
          </w:tcPr>
          <w:p>
            <w:pPr>
              <w:adjustRightInd w:val="0"/>
              <w:snapToGrid w:val="0"/>
              <w:jc w:val="center"/>
              <w:rPr>
                <w:rFonts w:ascii="Times New Roman" w:hAnsi="Times New Roman" w:eastAsia="仿宋"/>
                <w:color w:val="000000" w:themeColor="text1"/>
                <w:sz w:val="24"/>
                <w14:textFill>
                  <w14:solidFill>
                    <w14:schemeClr w14:val="tx1"/>
                  </w14:solidFill>
                </w14:textFill>
              </w:rPr>
            </w:pPr>
            <w:r>
              <w:rPr>
                <w:rFonts w:ascii="Times New Roman" w:hAnsi="Times New Roman" w:eastAsia="仿宋"/>
                <w:color w:val="000000" w:themeColor="text1"/>
                <w:sz w:val="24"/>
                <w14:textFill>
                  <w14:solidFill>
                    <w14:schemeClr w14:val="tx1"/>
                  </w14:solidFill>
                </w14:textFill>
              </w:rPr>
              <w:t>2</w:t>
            </w:r>
          </w:p>
        </w:tc>
        <w:tc>
          <w:tcPr>
            <w:tcW w:w="232"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企业提供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trPr>
        <w:tc>
          <w:tcPr>
            <w:tcW w:w="149" w:type="pct"/>
            <w:vMerge w:val="continue"/>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p>
        </w:tc>
        <w:tc>
          <w:tcPr>
            <w:tcW w:w="200"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36</w:t>
            </w:r>
          </w:p>
        </w:tc>
        <w:tc>
          <w:tcPr>
            <w:tcW w:w="1284"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广西智宏商品混凝土有限公司</w:t>
            </w:r>
          </w:p>
        </w:tc>
        <w:tc>
          <w:tcPr>
            <w:tcW w:w="1219"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钦州市大番坡镇葵子小区</w:t>
            </w:r>
          </w:p>
        </w:tc>
        <w:tc>
          <w:tcPr>
            <w:tcW w:w="1209"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混凝土搅拌机HZS180C8H</w:t>
            </w:r>
          </w:p>
        </w:tc>
        <w:tc>
          <w:tcPr>
            <w:tcW w:w="315"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100</w:t>
            </w:r>
          </w:p>
        </w:tc>
        <w:tc>
          <w:tcPr>
            <w:tcW w:w="391" w:type="pct"/>
            <w:vAlign w:val="center"/>
          </w:tcPr>
          <w:p>
            <w:pPr>
              <w:adjustRightInd w:val="0"/>
              <w:snapToGrid w:val="0"/>
              <w:jc w:val="center"/>
              <w:rPr>
                <w:rFonts w:ascii="Times New Roman" w:hAnsi="Times New Roman" w:eastAsia="仿宋"/>
                <w:color w:val="000000" w:themeColor="text1"/>
                <w:sz w:val="24"/>
                <w14:textFill>
                  <w14:solidFill>
                    <w14:schemeClr w14:val="tx1"/>
                  </w14:solidFill>
                </w14:textFill>
              </w:rPr>
            </w:pPr>
            <w:r>
              <w:rPr>
                <w:rFonts w:ascii="Times New Roman" w:hAnsi="Times New Roman" w:eastAsia="仿宋"/>
                <w:color w:val="000000" w:themeColor="text1"/>
                <w:sz w:val="24"/>
                <w14:textFill>
                  <w14:solidFill>
                    <w14:schemeClr w14:val="tx1"/>
                  </w14:solidFill>
                </w14:textFill>
              </w:rPr>
              <w:t>0</w:t>
            </w:r>
          </w:p>
        </w:tc>
        <w:tc>
          <w:tcPr>
            <w:tcW w:w="232"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trPr>
        <w:tc>
          <w:tcPr>
            <w:tcW w:w="149" w:type="pct"/>
            <w:vMerge w:val="continue"/>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p>
        </w:tc>
        <w:tc>
          <w:tcPr>
            <w:tcW w:w="200"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37</w:t>
            </w:r>
          </w:p>
        </w:tc>
        <w:tc>
          <w:tcPr>
            <w:tcW w:w="1284"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钦州市兴信混凝土有限公司</w:t>
            </w:r>
          </w:p>
        </w:tc>
        <w:tc>
          <w:tcPr>
            <w:tcW w:w="1219"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钦南区</w:t>
            </w:r>
            <w:r>
              <w:rPr>
                <w:rFonts w:hint="eastAsia" w:ascii="Times New Roman" w:hAnsi="Times New Roman" w:eastAsia="仿宋"/>
                <w:color w:val="000000" w:themeColor="text1"/>
                <w:sz w:val="24"/>
                <w:szCs w:val="24"/>
                <w14:textFill>
                  <w14:solidFill>
                    <w14:schemeClr w14:val="tx1"/>
                  </w14:solidFill>
                </w14:textFill>
              </w:rPr>
              <w:t>西环南路广西钦州市水泥有限公司内</w:t>
            </w:r>
          </w:p>
        </w:tc>
        <w:tc>
          <w:tcPr>
            <w:tcW w:w="1209"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w:t>
            </w:r>
          </w:p>
        </w:tc>
        <w:tc>
          <w:tcPr>
            <w:tcW w:w="315"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30（估）</w:t>
            </w:r>
          </w:p>
        </w:tc>
        <w:tc>
          <w:tcPr>
            <w:tcW w:w="391"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w:t>
            </w:r>
          </w:p>
        </w:tc>
        <w:tc>
          <w:tcPr>
            <w:tcW w:w="232"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停产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 w:type="pct"/>
            <w:vMerge w:val="continue"/>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p>
        </w:tc>
        <w:tc>
          <w:tcPr>
            <w:tcW w:w="200"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38</w:t>
            </w:r>
          </w:p>
        </w:tc>
        <w:tc>
          <w:tcPr>
            <w:tcW w:w="1284"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广西宏泰投资有限公司</w:t>
            </w:r>
          </w:p>
        </w:tc>
        <w:tc>
          <w:tcPr>
            <w:tcW w:w="1219"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钦州市大番坡镇葵子小区</w:t>
            </w:r>
          </w:p>
        </w:tc>
        <w:tc>
          <w:tcPr>
            <w:tcW w:w="1209"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HZS180（两套）</w:t>
            </w:r>
          </w:p>
        </w:tc>
        <w:tc>
          <w:tcPr>
            <w:tcW w:w="315"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60</w:t>
            </w:r>
          </w:p>
        </w:tc>
        <w:tc>
          <w:tcPr>
            <w:tcW w:w="391"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8</w:t>
            </w:r>
          </w:p>
        </w:tc>
        <w:tc>
          <w:tcPr>
            <w:tcW w:w="232"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 w:type="pct"/>
            <w:vMerge w:val="continue"/>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p>
        </w:tc>
        <w:tc>
          <w:tcPr>
            <w:tcW w:w="200"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39</w:t>
            </w:r>
          </w:p>
        </w:tc>
        <w:tc>
          <w:tcPr>
            <w:tcW w:w="1284"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钦州</w:t>
            </w:r>
            <w:r>
              <w:rPr>
                <w:rFonts w:hint="eastAsia" w:ascii="Times New Roman" w:hAnsi="Times New Roman" w:eastAsia="仿宋"/>
                <w:color w:val="000000" w:themeColor="text1"/>
                <w:sz w:val="24"/>
                <w:szCs w:val="24"/>
                <w14:textFill>
                  <w14:solidFill>
                    <w14:schemeClr w14:val="tx1"/>
                  </w14:solidFill>
                </w14:textFill>
              </w:rPr>
              <w:t>市</w:t>
            </w:r>
            <w:r>
              <w:rPr>
                <w:rFonts w:ascii="Times New Roman" w:hAnsi="Times New Roman" w:eastAsia="仿宋"/>
                <w:color w:val="000000" w:themeColor="text1"/>
                <w:sz w:val="24"/>
                <w:szCs w:val="24"/>
                <w14:textFill>
                  <w14:solidFill>
                    <w14:schemeClr w14:val="tx1"/>
                  </w14:solidFill>
                </w14:textFill>
              </w:rPr>
              <w:t>永固混凝土公司</w:t>
            </w:r>
          </w:p>
        </w:tc>
        <w:tc>
          <w:tcPr>
            <w:tcW w:w="1219"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钦州港区兴港路东油沥青对面</w:t>
            </w:r>
          </w:p>
        </w:tc>
        <w:tc>
          <w:tcPr>
            <w:tcW w:w="1209"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HZS180（两套）</w:t>
            </w:r>
          </w:p>
        </w:tc>
        <w:tc>
          <w:tcPr>
            <w:tcW w:w="315"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60</w:t>
            </w:r>
          </w:p>
        </w:tc>
        <w:tc>
          <w:tcPr>
            <w:tcW w:w="391"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33</w:t>
            </w:r>
          </w:p>
        </w:tc>
        <w:tc>
          <w:tcPr>
            <w:tcW w:w="232" w:type="pct"/>
            <w:vMerge w:val="restar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钦州港片区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 w:type="pct"/>
            <w:vMerge w:val="continue"/>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p>
        </w:tc>
        <w:tc>
          <w:tcPr>
            <w:tcW w:w="200"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40</w:t>
            </w:r>
          </w:p>
        </w:tc>
        <w:tc>
          <w:tcPr>
            <w:tcW w:w="1284"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钦州临海混凝土有限公司</w:t>
            </w:r>
          </w:p>
        </w:tc>
        <w:tc>
          <w:tcPr>
            <w:tcW w:w="1219"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钦州港三墩公路右转临海搅拌站</w:t>
            </w:r>
          </w:p>
        </w:tc>
        <w:tc>
          <w:tcPr>
            <w:tcW w:w="1209"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HZS180（两套）</w:t>
            </w:r>
          </w:p>
        </w:tc>
        <w:tc>
          <w:tcPr>
            <w:tcW w:w="315"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60</w:t>
            </w:r>
          </w:p>
        </w:tc>
        <w:tc>
          <w:tcPr>
            <w:tcW w:w="391"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45</w:t>
            </w:r>
          </w:p>
        </w:tc>
        <w:tc>
          <w:tcPr>
            <w:tcW w:w="232" w:type="pct"/>
            <w:vMerge w:val="continue"/>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 w:type="pct"/>
            <w:vMerge w:val="continue"/>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p>
        </w:tc>
        <w:tc>
          <w:tcPr>
            <w:tcW w:w="200"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41</w:t>
            </w:r>
          </w:p>
        </w:tc>
        <w:tc>
          <w:tcPr>
            <w:tcW w:w="1284"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钦州市华德建材有限公司</w:t>
            </w:r>
          </w:p>
        </w:tc>
        <w:tc>
          <w:tcPr>
            <w:tcW w:w="1219"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钦州港区临海大道旧变电站南面</w:t>
            </w:r>
          </w:p>
        </w:tc>
        <w:tc>
          <w:tcPr>
            <w:tcW w:w="1209"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HZS180（两套）</w:t>
            </w:r>
          </w:p>
        </w:tc>
        <w:tc>
          <w:tcPr>
            <w:tcW w:w="315"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60</w:t>
            </w:r>
          </w:p>
        </w:tc>
        <w:tc>
          <w:tcPr>
            <w:tcW w:w="391"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21</w:t>
            </w:r>
          </w:p>
        </w:tc>
        <w:tc>
          <w:tcPr>
            <w:tcW w:w="232" w:type="pct"/>
            <w:vMerge w:val="continue"/>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 w:type="pct"/>
            <w:vMerge w:val="continue"/>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p>
        </w:tc>
        <w:tc>
          <w:tcPr>
            <w:tcW w:w="200"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42</w:t>
            </w:r>
          </w:p>
        </w:tc>
        <w:tc>
          <w:tcPr>
            <w:tcW w:w="1284"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华润勒沟混凝土有限公司</w:t>
            </w:r>
          </w:p>
        </w:tc>
        <w:tc>
          <w:tcPr>
            <w:tcW w:w="1219"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钦州市钦州港勒沟作业区</w:t>
            </w:r>
          </w:p>
        </w:tc>
        <w:tc>
          <w:tcPr>
            <w:tcW w:w="1209"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HZS180(二套）</w:t>
            </w:r>
          </w:p>
        </w:tc>
        <w:tc>
          <w:tcPr>
            <w:tcW w:w="315"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60</w:t>
            </w:r>
          </w:p>
        </w:tc>
        <w:tc>
          <w:tcPr>
            <w:tcW w:w="391"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19</w:t>
            </w:r>
          </w:p>
        </w:tc>
        <w:tc>
          <w:tcPr>
            <w:tcW w:w="232" w:type="pct"/>
            <w:vMerge w:val="continue"/>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 w:type="pct"/>
            <w:vMerge w:val="continue"/>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p>
        </w:tc>
        <w:tc>
          <w:tcPr>
            <w:tcW w:w="200"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43</w:t>
            </w:r>
          </w:p>
        </w:tc>
        <w:tc>
          <w:tcPr>
            <w:tcW w:w="1284"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广西中马钦州产业园区孔雀湾混凝土有限公司</w:t>
            </w:r>
          </w:p>
        </w:tc>
        <w:tc>
          <w:tcPr>
            <w:tcW w:w="1219"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广西中马钦州产业园启动区D-05-02地块</w:t>
            </w:r>
          </w:p>
        </w:tc>
        <w:tc>
          <w:tcPr>
            <w:tcW w:w="1209"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三一重工</w:t>
            </w:r>
            <w:r>
              <w:rPr>
                <w:rFonts w:ascii="Times New Roman" w:hAnsi="Times New Roman" w:eastAsia="仿宋"/>
                <w:color w:val="000000" w:themeColor="text1"/>
                <w:sz w:val="24"/>
                <w:szCs w:val="24"/>
                <w14:textFill>
                  <w14:solidFill>
                    <w14:schemeClr w14:val="tx1"/>
                  </w14:solidFill>
                </w14:textFill>
              </w:rPr>
              <w:t>JS3000E（两套）</w:t>
            </w:r>
          </w:p>
        </w:tc>
        <w:tc>
          <w:tcPr>
            <w:tcW w:w="315"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60</w:t>
            </w:r>
          </w:p>
        </w:tc>
        <w:tc>
          <w:tcPr>
            <w:tcW w:w="391"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28</w:t>
            </w:r>
          </w:p>
        </w:tc>
        <w:tc>
          <w:tcPr>
            <w:tcW w:w="232" w:type="pct"/>
            <w:vMerge w:val="continue"/>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 w:type="pct"/>
            <w:vMerge w:val="continue"/>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p>
        </w:tc>
        <w:tc>
          <w:tcPr>
            <w:tcW w:w="200"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44</w:t>
            </w:r>
          </w:p>
        </w:tc>
        <w:tc>
          <w:tcPr>
            <w:tcW w:w="1284"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钦州市钦州港志得混凝土有限公司</w:t>
            </w:r>
          </w:p>
        </w:tc>
        <w:tc>
          <w:tcPr>
            <w:tcW w:w="1219"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钦州港金鼓江西岸</w:t>
            </w:r>
          </w:p>
        </w:tc>
        <w:tc>
          <w:tcPr>
            <w:tcW w:w="1209"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中联重科JS3000-ZHZS180(两套)</w:t>
            </w:r>
          </w:p>
        </w:tc>
        <w:tc>
          <w:tcPr>
            <w:tcW w:w="315"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60</w:t>
            </w:r>
          </w:p>
        </w:tc>
        <w:tc>
          <w:tcPr>
            <w:tcW w:w="391"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25</w:t>
            </w:r>
          </w:p>
        </w:tc>
        <w:tc>
          <w:tcPr>
            <w:tcW w:w="232" w:type="pct"/>
            <w:vMerge w:val="continue"/>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 w:type="pct"/>
            <w:vMerge w:val="restar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钦北区</w:t>
            </w:r>
          </w:p>
        </w:tc>
        <w:tc>
          <w:tcPr>
            <w:tcW w:w="200"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45</w:t>
            </w:r>
          </w:p>
        </w:tc>
        <w:tc>
          <w:tcPr>
            <w:tcW w:w="1284"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广西怡园建材有限公司</w:t>
            </w:r>
          </w:p>
        </w:tc>
        <w:tc>
          <w:tcPr>
            <w:tcW w:w="1219"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钦州市钦北区皇马工业园区一区</w:t>
            </w:r>
          </w:p>
        </w:tc>
        <w:tc>
          <w:tcPr>
            <w:tcW w:w="1209"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JS3000XD，两套</w:t>
            </w:r>
          </w:p>
        </w:tc>
        <w:tc>
          <w:tcPr>
            <w:tcW w:w="315"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60</w:t>
            </w:r>
          </w:p>
        </w:tc>
        <w:tc>
          <w:tcPr>
            <w:tcW w:w="391" w:type="pct"/>
            <w:vAlign w:val="center"/>
          </w:tcPr>
          <w:p>
            <w:pPr>
              <w:tabs>
                <w:tab w:val="left" w:pos="547"/>
              </w:tabs>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14</w:t>
            </w:r>
          </w:p>
        </w:tc>
        <w:tc>
          <w:tcPr>
            <w:tcW w:w="232"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 w:type="pct"/>
            <w:vMerge w:val="continue"/>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p>
        </w:tc>
        <w:tc>
          <w:tcPr>
            <w:tcW w:w="200"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46</w:t>
            </w:r>
          </w:p>
        </w:tc>
        <w:tc>
          <w:tcPr>
            <w:tcW w:w="1284"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华润混凝土（钦州）有限公司</w:t>
            </w:r>
          </w:p>
        </w:tc>
        <w:tc>
          <w:tcPr>
            <w:tcW w:w="1219"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钦州市钦北区皇马工业园区一区</w:t>
            </w:r>
          </w:p>
        </w:tc>
        <w:tc>
          <w:tcPr>
            <w:tcW w:w="1209"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HZS180(两套）</w:t>
            </w:r>
          </w:p>
        </w:tc>
        <w:tc>
          <w:tcPr>
            <w:tcW w:w="315"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60</w:t>
            </w:r>
          </w:p>
        </w:tc>
        <w:tc>
          <w:tcPr>
            <w:tcW w:w="391"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22</w:t>
            </w:r>
          </w:p>
        </w:tc>
        <w:tc>
          <w:tcPr>
            <w:tcW w:w="232"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 w:type="pct"/>
            <w:vMerge w:val="continue"/>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p>
        </w:tc>
        <w:tc>
          <w:tcPr>
            <w:tcW w:w="200"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47</w:t>
            </w:r>
          </w:p>
        </w:tc>
        <w:tc>
          <w:tcPr>
            <w:tcW w:w="1284"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广西开鑫建材有限公司</w:t>
            </w:r>
          </w:p>
        </w:tc>
        <w:tc>
          <w:tcPr>
            <w:tcW w:w="1219"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钦州市钦北区皇马工业园区四区</w:t>
            </w:r>
          </w:p>
        </w:tc>
        <w:tc>
          <w:tcPr>
            <w:tcW w:w="1209"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HBC120（两套）HBC180（一套）</w:t>
            </w:r>
          </w:p>
        </w:tc>
        <w:tc>
          <w:tcPr>
            <w:tcW w:w="315"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70</w:t>
            </w:r>
          </w:p>
        </w:tc>
        <w:tc>
          <w:tcPr>
            <w:tcW w:w="391"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15</w:t>
            </w:r>
          </w:p>
        </w:tc>
        <w:tc>
          <w:tcPr>
            <w:tcW w:w="232"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 w:type="pct"/>
            <w:vMerge w:val="continue"/>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p>
        </w:tc>
        <w:tc>
          <w:tcPr>
            <w:tcW w:w="200"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48</w:t>
            </w:r>
          </w:p>
        </w:tc>
        <w:tc>
          <w:tcPr>
            <w:tcW w:w="1284"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钦州市福联建材有限公司</w:t>
            </w:r>
          </w:p>
        </w:tc>
        <w:tc>
          <w:tcPr>
            <w:tcW w:w="1219"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钦州市钦北区皇马工业园区四区</w:t>
            </w:r>
          </w:p>
        </w:tc>
        <w:tc>
          <w:tcPr>
            <w:tcW w:w="1209"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MAO6750/4500SDYCO—ZLS—17（两套）</w:t>
            </w:r>
          </w:p>
        </w:tc>
        <w:tc>
          <w:tcPr>
            <w:tcW w:w="315"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90</w:t>
            </w:r>
          </w:p>
        </w:tc>
        <w:tc>
          <w:tcPr>
            <w:tcW w:w="391"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4</w:t>
            </w:r>
          </w:p>
        </w:tc>
        <w:tc>
          <w:tcPr>
            <w:tcW w:w="232"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 w:type="pct"/>
            <w:vMerge w:val="continue"/>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p>
        </w:tc>
        <w:tc>
          <w:tcPr>
            <w:tcW w:w="200"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49</w:t>
            </w:r>
          </w:p>
        </w:tc>
        <w:tc>
          <w:tcPr>
            <w:tcW w:w="1284"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广西中德兴新型建材有限公司</w:t>
            </w:r>
          </w:p>
        </w:tc>
        <w:tc>
          <w:tcPr>
            <w:tcW w:w="1219"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钦州市钦北区皇马工业园区四区</w:t>
            </w:r>
          </w:p>
        </w:tc>
        <w:tc>
          <w:tcPr>
            <w:tcW w:w="1209"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JS3000（两套）</w:t>
            </w:r>
          </w:p>
        </w:tc>
        <w:tc>
          <w:tcPr>
            <w:tcW w:w="315"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60</w:t>
            </w:r>
          </w:p>
        </w:tc>
        <w:tc>
          <w:tcPr>
            <w:tcW w:w="391"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3</w:t>
            </w:r>
          </w:p>
        </w:tc>
        <w:tc>
          <w:tcPr>
            <w:tcW w:w="232"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 w:type="pct"/>
            <w:vMerge w:val="continue"/>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p>
        </w:tc>
        <w:tc>
          <w:tcPr>
            <w:tcW w:w="200"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50</w:t>
            </w:r>
          </w:p>
        </w:tc>
        <w:tc>
          <w:tcPr>
            <w:tcW w:w="1284"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钦州市京桂建材有限公司</w:t>
            </w:r>
          </w:p>
        </w:tc>
        <w:tc>
          <w:tcPr>
            <w:tcW w:w="1219"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钦州市钦北区皇马工业园区四区</w:t>
            </w:r>
          </w:p>
        </w:tc>
        <w:tc>
          <w:tcPr>
            <w:tcW w:w="1209"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w:t>
            </w:r>
          </w:p>
        </w:tc>
        <w:tc>
          <w:tcPr>
            <w:tcW w:w="315"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30（估）</w:t>
            </w:r>
          </w:p>
        </w:tc>
        <w:tc>
          <w:tcPr>
            <w:tcW w:w="391"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0</w:t>
            </w:r>
          </w:p>
        </w:tc>
        <w:tc>
          <w:tcPr>
            <w:tcW w:w="232"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停产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 w:type="pct"/>
            <w:vMerge w:val="continue"/>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p>
        </w:tc>
        <w:tc>
          <w:tcPr>
            <w:tcW w:w="200"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51</w:t>
            </w:r>
          </w:p>
        </w:tc>
        <w:tc>
          <w:tcPr>
            <w:tcW w:w="1284"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广西钦州市伟顺混凝土有限公司</w:t>
            </w:r>
          </w:p>
        </w:tc>
        <w:tc>
          <w:tcPr>
            <w:tcW w:w="1219"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钦州市钦北区小董镇茶山村</w:t>
            </w:r>
          </w:p>
        </w:tc>
        <w:tc>
          <w:tcPr>
            <w:tcW w:w="1209"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HZS120VG</w:t>
            </w:r>
          </w:p>
        </w:tc>
        <w:tc>
          <w:tcPr>
            <w:tcW w:w="315"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20</w:t>
            </w:r>
          </w:p>
        </w:tc>
        <w:tc>
          <w:tcPr>
            <w:tcW w:w="391"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1</w:t>
            </w:r>
          </w:p>
        </w:tc>
        <w:tc>
          <w:tcPr>
            <w:tcW w:w="232"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p>
        </w:tc>
      </w:tr>
    </w:tbl>
    <w:p>
      <w:pPr>
        <w:spacing w:line="360" w:lineRule="auto"/>
        <w:rPr>
          <w:rFonts w:ascii="Times New Roman" w:hAnsi="Times New Roman" w:eastAsia="仿宋"/>
          <w:color w:val="000000" w:themeColor="text1"/>
          <w:sz w:val="28"/>
          <w:szCs w:val="28"/>
          <w14:textFill>
            <w14:solidFill>
              <w14:schemeClr w14:val="tx1"/>
            </w14:solidFill>
          </w14:textFill>
        </w:rPr>
      </w:pPr>
      <w:r>
        <w:rPr>
          <w:rFonts w:ascii="Times New Roman" w:hAnsi="Times New Roman" w:eastAsia="仿宋"/>
          <w:color w:val="000000" w:themeColor="text1"/>
          <w:szCs w:val="21"/>
          <w14:textFill>
            <w14:solidFill>
              <w14:schemeClr w14:val="tx1"/>
            </w14:solidFill>
          </w14:textFill>
        </w:rPr>
        <w:t>备注：设计产能根据《预拌混凝土搅拌站（楼）产能核定方法》（T/CBMF126—2021/T/CCPA21—2021）计算。</w:t>
      </w:r>
    </w:p>
    <w:p>
      <w:pPr>
        <w:pStyle w:val="2"/>
        <w:rPr>
          <w:rFonts w:ascii="Times New Roman" w:hAnsi="Times New Roman" w:eastAsia="仿宋"/>
          <w:color w:val="000000" w:themeColor="text1"/>
          <w:sz w:val="28"/>
          <w:szCs w:val="28"/>
          <w14:textFill>
            <w14:solidFill>
              <w14:schemeClr w14:val="tx1"/>
            </w14:solidFill>
          </w14:textFill>
        </w:rPr>
        <w:sectPr>
          <w:pgSz w:w="16838" w:h="11906" w:orient="landscape"/>
          <w:pgMar w:top="1800" w:right="1440" w:bottom="1800" w:left="1440" w:header="851" w:footer="992" w:gutter="0"/>
          <w:cols w:space="425" w:num="1"/>
          <w:docGrid w:type="lines" w:linePitch="312" w:charSpace="0"/>
        </w:sectPr>
      </w:pPr>
    </w:p>
    <w:p>
      <w:pPr>
        <w:adjustRightInd w:val="0"/>
        <w:snapToGrid w:val="0"/>
        <w:jc w:val="center"/>
        <w:rPr>
          <w:rFonts w:ascii="Times New Roman" w:hAnsi="Times New Roman" w:eastAsia="仿宋"/>
          <w:b/>
          <w:bCs/>
          <w:color w:val="000000" w:themeColor="text1"/>
          <w:sz w:val="24"/>
          <w:szCs w:val="24"/>
          <w14:textFill>
            <w14:solidFill>
              <w14:schemeClr w14:val="tx1"/>
            </w14:solidFill>
          </w14:textFill>
        </w:rPr>
      </w:pPr>
      <w:r>
        <w:rPr>
          <w:rFonts w:ascii="Times New Roman" w:hAnsi="Times New Roman" w:eastAsia="Times New Roman"/>
          <w:snapToGrid w:val="0"/>
          <w:color w:val="000000" w:themeColor="text1"/>
          <w:w w:val="0"/>
          <w:kern w:val="0"/>
          <w:sz w:val="0"/>
          <w:szCs w:val="0"/>
          <w:u w:color="000000"/>
          <w:shd w:val="clear" w:color="000000" w:fill="000000"/>
          <w:lang w:val="zh-CN" w:bidi="zh-CN"/>
          <w14:textFill>
            <w14:solidFill>
              <w14:schemeClr w14:val="tx1"/>
            </w14:solidFill>
          </w14:textFill>
        </w:rPr>
        <w:t xml:space="preserve"> </w:t>
      </w:r>
    </w:p>
    <w:p>
      <w:pPr>
        <w:spacing w:line="360" w:lineRule="auto"/>
        <w:ind w:firstLine="640" w:firstLineChars="200"/>
        <w:rPr>
          <w:rFonts w:ascii="Times New Roman" w:hAnsi="Times New Roman" w:eastAsia="仿宋"/>
          <w:color w:val="000000" w:themeColor="text1"/>
          <w:sz w:val="32"/>
          <w:szCs w:val="32"/>
          <w14:textFill>
            <w14:solidFill>
              <w14:schemeClr w14:val="tx1"/>
            </w14:solidFill>
          </w14:textFill>
        </w:rPr>
      </w:pPr>
      <w:r>
        <w:rPr>
          <w:rFonts w:ascii="Times New Roman" w:hAnsi="Times New Roman" w:eastAsia="仿宋"/>
          <w:color w:val="000000" w:themeColor="text1"/>
          <w:sz w:val="32"/>
          <w:szCs w:val="32"/>
          <w14:textFill>
            <w14:solidFill>
              <w14:schemeClr w14:val="tx1"/>
            </w14:solidFill>
          </w14:textFill>
        </w:rPr>
        <w:t>2、产能利用率情况</w:t>
      </w:r>
    </w:p>
    <w:p>
      <w:pPr>
        <w:spacing w:line="360" w:lineRule="auto"/>
        <w:ind w:firstLine="640" w:firstLineChars="200"/>
        <w:rPr>
          <w:rFonts w:ascii="Times New Roman" w:hAnsi="Times New Roman" w:eastAsia="仿宋"/>
          <w:color w:val="000000" w:themeColor="text1"/>
          <w:sz w:val="32"/>
          <w:szCs w:val="32"/>
          <w14:textFill>
            <w14:solidFill>
              <w14:schemeClr w14:val="tx1"/>
            </w14:solidFill>
          </w14:textFill>
        </w:rPr>
      </w:pPr>
      <w:r>
        <w:rPr>
          <w:rFonts w:ascii="Times New Roman" w:hAnsi="Times New Roman" w:eastAsia="仿宋"/>
          <w:color w:val="000000" w:themeColor="text1"/>
          <w:sz w:val="32"/>
          <w:szCs w:val="32"/>
          <w14:textFill>
            <w14:solidFill>
              <w14:schemeClr w14:val="tx1"/>
            </w14:solidFill>
          </w14:textFill>
        </w:rPr>
        <w:t>202</w:t>
      </w:r>
      <w:r>
        <w:rPr>
          <w:rFonts w:hint="eastAsia" w:ascii="Times New Roman" w:hAnsi="Times New Roman" w:eastAsia="仿宋"/>
          <w:color w:val="000000" w:themeColor="text1"/>
          <w:sz w:val="32"/>
          <w:szCs w:val="32"/>
          <w14:textFill>
            <w14:solidFill>
              <w14:schemeClr w14:val="tx1"/>
            </w14:solidFill>
          </w14:textFill>
        </w:rPr>
        <w:t>1</w:t>
      </w:r>
      <w:r>
        <w:rPr>
          <w:rFonts w:ascii="Times New Roman" w:hAnsi="Times New Roman" w:eastAsia="仿宋"/>
          <w:color w:val="000000" w:themeColor="text1"/>
          <w:sz w:val="32"/>
          <w:szCs w:val="32"/>
          <w14:textFill>
            <w14:solidFill>
              <w14:schemeClr w14:val="tx1"/>
            </w14:solidFill>
          </w14:textFill>
        </w:rPr>
        <w:t>年钦州市预拌混凝土</w:t>
      </w:r>
      <w:r>
        <w:rPr>
          <w:rFonts w:hint="eastAsia" w:ascii="Times New Roman" w:hAnsi="Times New Roman" w:eastAsia="仿宋"/>
          <w:color w:val="000000" w:themeColor="text1"/>
          <w:sz w:val="32"/>
          <w:szCs w:val="32"/>
          <w14:textFill>
            <w14:solidFill>
              <w14:schemeClr w14:val="tx1"/>
            </w14:solidFill>
          </w14:textFill>
        </w:rPr>
        <w:t>供应</w:t>
      </w:r>
      <w:r>
        <w:rPr>
          <w:rFonts w:ascii="Times New Roman" w:hAnsi="Times New Roman" w:eastAsia="仿宋"/>
          <w:color w:val="000000" w:themeColor="text1"/>
          <w:sz w:val="32"/>
          <w:szCs w:val="32"/>
          <w14:textFill>
            <w14:solidFill>
              <w14:schemeClr w14:val="tx1"/>
            </w14:solidFill>
          </w14:textFill>
        </w:rPr>
        <w:t>量为</w:t>
      </w:r>
      <w:r>
        <w:rPr>
          <w:rFonts w:hint="eastAsia" w:ascii="Times New Roman" w:hAnsi="Times New Roman" w:eastAsia="仿宋"/>
          <w:color w:val="000000" w:themeColor="text1"/>
          <w:sz w:val="32"/>
          <w:szCs w:val="32"/>
          <w14:textFill>
            <w14:solidFill>
              <w14:schemeClr w14:val="tx1"/>
            </w14:solidFill>
          </w14:textFill>
        </w:rPr>
        <w:t>591</w:t>
      </w:r>
      <w:r>
        <w:rPr>
          <w:rFonts w:ascii="Times New Roman" w:hAnsi="Times New Roman" w:eastAsia="仿宋"/>
          <w:color w:val="000000" w:themeColor="text1"/>
          <w:sz w:val="32"/>
          <w:szCs w:val="32"/>
          <w14:textFill>
            <w14:solidFill>
              <w14:schemeClr w14:val="tx1"/>
            </w14:solidFill>
          </w14:textFill>
        </w:rPr>
        <w:t>万立方米</w:t>
      </w:r>
      <w:r>
        <w:rPr>
          <w:rFonts w:hint="eastAsia" w:ascii="Times New Roman" w:hAnsi="Times New Roman" w:eastAsia="仿宋"/>
          <w:color w:val="000000" w:themeColor="text1"/>
          <w:sz w:val="32"/>
          <w:szCs w:val="32"/>
          <w14:textFill>
            <w14:solidFill>
              <w14:schemeClr w14:val="tx1"/>
            </w14:solidFill>
          </w14:textFill>
        </w:rPr>
        <w:t>，</w:t>
      </w:r>
      <w:r>
        <w:rPr>
          <w:rFonts w:ascii="Times New Roman" w:hAnsi="Times New Roman" w:eastAsia="仿宋"/>
          <w:color w:val="000000" w:themeColor="text1"/>
          <w:sz w:val="32"/>
          <w:szCs w:val="32"/>
          <w14:textFill>
            <w14:solidFill>
              <w14:schemeClr w14:val="tx1"/>
            </w14:solidFill>
          </w14:textFill>
        </w:rPr>
        <w:t>具体情况如表1-</w:t>
      </w:r>
      <w:r>
        <w:rPr>
          <w:rFonts w:hint="eastAsia" w:ascii="Times New Roman" w:hAnsi="Times New Roman" w:eastAsia="仿宋"/>
          <w:color w:val="000000" w:themeColor="text1"/>
          <w:sz w:val="32"/>
          <w:szCs w:val="32"/>
          <w14:textFill>
            <w14:solidFill>
              <w14:schemeClr w14:val="tx1"/>
            </w14:solidFill>
          </w14:textFill>
        </w:rPr>
        <w:t>3</w:t>
      </w:r>
      <w:r>
        <w:rPr>
          <w:rFonts w:ascii="Times New Roman" w:hAnsi="Times New Roman" w:eastAsia="仿宋"/>
          <w:color w:val="000000" w:themeColor="text1"/>
          <w:sz w:val="32"/>
          <w:szCs w:val="32"/>
          <w14:textFill>
            <w14:solidFill>
              <w14:schemeClr w14:val="tx1"/>
            </w14:solidFill>
          </w14:textFill>
        </w:rPr>
        <w:t>所示。</w:t>
      </w:r>
    </w:p>
    <w:p>
      <w:pPr>
        <w:adjustRightInd w:val="0"/>
        <w:snapToGrid w:val="0"/>
        <w:spacing w:line="360" w:lineRule="auto"/>
        <w:jc w:val="center"/>
        <w:rPr>
          <w:rFonts w:ascii="Times New Roman" w:hAnsi="Times New Roman" w:eastAsia="仿宋"/>
          <w:b/>
          <w:bCs/>
          <w:color w:val="000000" w:themeColor="text1"/>
          <w:sz w:val="24"/>
          <w:szCs w:val="24"/>
          <w14:textFill>
            <w14:solidFill>
              <w14:schemeClr w14:val="tx1"/>
            </w14:solidFill>
          </w14:textFill>
        </w:rPr>
      </w:pPr>
      <w:r>
        <w:rPr>
          <w:rFonts w:ascii="Times New Roman" w:hAnsi="Times New Roman" w:eastAsia="仿宋"/>
          <w:b/>
          <w:bCs/>
          <w:color w:val="000000" w:themeColor="text1"/>
          <w:sz w:val="24"/>
          <w:szCs w:val="24"/>
          <w14:textFill>
            <w14:solidFill>
              <w14:schemeClr w14:val="tx1"/>
            </w14:solidFill>
          </w14:textFill>
        </w:rPr>
        <w:t>表1-</w:t>
      </w:r>
      <w:r>
        <w:rPr>
          <w:rFonts w:hint="eastAsia" w:ascii="Times New Roman" w:hAnsi="Times New Roman" w:eastAsia="仿宋"/>
          <w:b/>
          <w:bCs/>
          <w:color w:val="000000" w:themeColor="text1"/>
          <w:sz w:val="24"/>
          <w:szCs w:val="24"/>
          <w14:textFill>
            <w14:solidFill>
              <w14:schemeClr w14:val="tx1"/>
            </w14:solidFill>
          </w14:textFill>
        </w:rPr>
        <w:t xml:space="preserve">3  </w:t>
      </w:r>
      <w:r>
        <w:rPr>
          <w:rFonts w:ascii="Times New Roman" w:hAnsi="Times New Roman" w:eastAsia="仿宋"/>
          <w:b/>
          <w:bCs/>
          <w:color w:val="000000" w:themeColor="text1"/>
          <w:sz w:val="24"/>
          <w:szCs w:val="24"/>
          <w14:textFill>
            <w14:solidFill>
              <w14:schemeClr w14:val="tx1"/>
            </w14:solidFill>
          </w14:textFill>
        </w:rPr>
        <w:t>202</w:t>
      </w:r>
      <w:r>
        <w:rPr>
          <w:rFonts w:hint="eastAsia" w:ascii="Times New Roman" w:hAnsi="Times New Roman" w:eastAsia="仿宋"/>
          <w:b/>
          <w:bCs/>
          <w:color w:val="000000" w:themeColor="text1"/>
          <w:sz w:val="24"/>
          <w:szCs w:val="24"/>
          <w14:textFill>
            <w14:solidFill>
              <w14:schemeClr w14:val="tx1"/>
            </w14:solidFill>
          </w14:textFill>
        </w:rPr>
        <w:t>1</w:t>
      </w:r>
      <w:r>
        <w:rPr>
          <w:rFonts w:ascii="Times New Roman" w:hAnsi="Times New Roman" w:eastAsia="仿宋"/>
          <w:b/>
          <w:bCs/>
          <w:color w:val="000000" w:themeColor="text1"/>
          <w:sz w:val="24"/>
          <w:szCs w:val="24"/>
          <w14:textFill>
            <w14:solidFill>
              <w14:schemeClr w14:val="tx1"/>
            </w14:solidFill>
          </w14:textFill>
        </w:rPr>
        <w:t>年钦州市混凝土企业产能利用率情况</w:t>
      </w:r>
    </w:p>
    <w:tbl>
      <w:tblPr>
        <w:tblStyle w:val="1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62"/>
        <w:gridCol w:w="1016"/>
        <w:gridCol w:w="1187"/>
        <w:gridCol w:w="1234"/>
        <w:gridCol w:w="1591"/>
        <w:gridCol w:w="12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7" w:type="pct"/>
            <w:vAlign w:val="center"/>
          </w:tcPr>
          <w:p>
            <w:pPr>
              <w:adjustRightInd w:val="0"/>
              <w:snapToGrid w:val="0"/>
              <w:jc w:val="center"/>
              <w:rPr>
                <w:rFonts w:ascii="Times New Roman" w:hAnsi="Times New Roman" w:eastAsia="仿宋"/>
                <w:b/>
                <w:bCs/>
                <w:color w:val="000000" w:themeColor="text1"/>
                <w:sz w:val="24"/>
                <w:szCs w:val="24"/>
                <w14:textFill>
                  <w14:solidFill>
                    <w14:schemeClr w14:val="tx1"/>
                  </w14:solidFill>
                </w14:textFill>
              </w:rPr>
            </w:pPr>
            <w:r>
              <w:rPr>
                <w:rFonts w:ascii="Times New Roman" w:hAnsi="Times New Roman" w:eastAsia="仿宋"/>
                <w:b/>
                <w:bCs/>
                <w:color w:val="000000" w:themeColor="text1"/>
                <w:sz w:val="24"/>
                <w:szCs w:val="24"/>
                <w14:textFill>
                  <w14:solidFill>
                    <w14:schemeClr w14:val="tx1"/>
                  </w14:solidFill>
                </w14:textFill>
              </w:rPr>
              <w:t>202</w:t>
            </w:r>
            <w:r>
              <w:rPr>
                <w:rFonts w:hint="eastAsia" w:ascii="Times New Roman" w:hAnsi="Times New Roman" w:eastAsia="仿宋"/>
                <w:b/>
                <w:bCs/>
                <w:color w:val="000000" w:themeColor="text1"/>
                <w:sz w:val="24"/>
                <w:szCs w:val="24"/>
                <w14:textFill>
                  <w14:solidFill>
                    <w14:schemeClr w14:val="tx1"/>
                  </w14:solidFill>
                </w14:textFill>
              </w:rPr>
              <w:t>1</w:t>
            </w:r>
            <w:r>
              <w:rPr>
                <w:rFonts w:ascii="Times New Roman" w:hAnsi="Times New Roman" w:eastAsia="仿宋"/>
                <w:b/>
                <w:bCs/>
                <w:color w:val="000000" w:themeColor="text1"/>
                <w:sz w:val="24"/>
                <w:szCs w:val="24"/>
                <w14:textFill>
                  <w14:solidFill>
                    <w14:schemeClr w14:val="tx1"/>
                  </w14:solidFill>
                </w14:textFill>
              </w:rPr>
              <w:t>年</w:t>
            </w:r>
          </w:p>
        </w:tc>
        <w:tc>
          <w:tcPr>
            <w:tcW w:w="596" w:type="pct"/>
            <w:vAlign w:val="center"/>
          </w:tcPr>
          <w:p>
            <w:pPr>
              <w:adjustRightInd w:val="0"/>
              <w:snapToGrid w:val="0"/>
              <w:jc w:val="center"/>
              <w:rPr>
                <w:rFonts w:ascii="Times New Roman" w:hAnsi="Times New Roman" w:eastAsia="仿宋"/>
                <w:b/>
                <w:bCs/>
                <w:color w:val="000000" w:themeColor="text1"/>
                <w:sz w:val="24"/>
                <w:szCs w:val="24"/>
                <w14:textFill>
                  <w14:solidFill>
                    <w14:schemeClr w14:val="tx1"/>
                  </w14:solidFill>
                </w14:textFill>
              </w:rPr>
            </w:pPr>
            <w:r>
              <w:rPr>
                <w:rFonts w:ascii="Times New Roman" w:hAnsi="Times New Roman" w:eastAsia="仿宋"/>
                <w:b/>
                <w:bCs/>
                <w:color w:val="000000" w:themeColor="text1"/>
                <w:sz w:val="24"/>
                <w:szCs w:val="24"/>
                <w14:textFill>
                  <w14:solidFill>
                    <w14:schemeClr w14:val="tx1"/>
                  </w14:solidFill>
                </w14:textFill>
              </w:rPr>
              <w:t>钦州市</w:t>
            </w:r>
          </w:p>
        </w:tc>
        <w:tc>
          <w:tcPr>
            <w:tcW w:w="696" w:type="pct"/>
            <w:vAlign w:val="center"/>
          </w:tcPr>
          <w:p>
            <w:pPr>
              <w:adjustRightInd w:val="0"/>
              <w:snapToGrid w:val="0"/>
              <w:jc w:val="center"/>
              <w:rPr>
                <w:rFonts w:ascii="Times New Roman" w:hAnsi="Times New Roman" w:eastAsia="仿宋"/>
                <w:b/>
                <w:bCs/>
                <w:color w:val="000000" w:themeColor="text1"/>
                <w:sz w:val="24"/>
                <w:szCs w:val="24"/>
                <w14:textFill>
                  <w14:solidFill>
                    <w14:schemeClr w14:val="tx1"/>
                  </w14:solidFill>
                </w14:textFill>
              </w:rPr>
            </w:pPr>
            <w:r>
              <w:rPr>
                <w:rFonts w:hint="eastAsia" w:ascii="Times New Roman" w:hAnsi="Times New Roman" w:eastAsia="仿宋"/>
                <w:b/>
                <w:bCs/>
                <w:color w:val="000000" w:themeColor="text1"/>
                <w:sz w:val="24"/>
                <w:szCs w:val="24"/>
                <w14:textFill>
                  <w14:solidFill>
                    <w14:schemeClr w14:val="tx1"/>
                  </w14:solidFill>
                </w14:textFill>
              </w:rPr>
              <w:t>灵山县</w:t>
            </w:r>
          </w:p>
        </w:tc>
        <w:tc>
          <w:tcPr>
            <w:tcW w:w="724" w:type="pct"/>
            <w:vAlign w:val="center"/>
          </w:tcPr>
          <w:p>
            <w:pPr>
              <w:adjustRightInd w:val="0"/>
              <w:snapToGrid w:val="0"/>
              <w:jc w:val="center"/>
              <w:rPr>
                <w:rFonts w:ascii="Times New Roman" w:hAnsi="Times New Roman" w:eastAsia="仿宋"/>
                <w:b/>
                <w:bCs/>
                <w:color w:val="000000" w:themeColor="text1"/>
                <w:sz w:val="24"/>
                <w:szCs w:val="24"/>
                <w14:textFill>
                  <w14:solidFill>
                    <w14:schemeClr w14:val="tx1"/>
                  </w14:solidFill>
                </w14:textFill>
              </w:rPr>
            </w:pPr>
            <w:r>
              <w:rPr>
                <w:rFonts w:hint="eastAsia" w:ascii="Times New Roman" w:hAnsi="Times New Roman" w:eastAsia="仿宋"/>
                <w:b/>
                <w:bCs/>
                <w:color w:val="000000" w:themeColor="text1"/>
                <w:sz w:val="24"/>
                <w:szCs w:val="24"/>
                <w14:textFill>
                  <w14:solidFill>
                    <w14:schemeClr w14:val="tx1"/>
                  </w14:solidFill>
                </w14:textFill>
              </w:rPr>
              <w:t>浦北县</w:t>
            </w:r>
          </w:p>
        </w:tc>
        <w:tc>
          <w:tcPr>
            <w:tcW w:w="933" w:type="pct"/>
            <w:vAlign w:val="center"/>
          </w:tcPr>
          <w:p>
            <w:pPr>
              <w:adjustRightInd w:val="0"/>
              <w:snapToGrid w:val="0"/>
              <w:jc w:val="center"/>
              <w:rPr>
                <w:rFonts w:ascii="Times New Roman" w:hAnsi="Times New Roman" w:eastAsia="仿宋"/>
                <w:b/>
                <w:bCs/>
                <w:color w:val="000000" w:themeColor="text1"/>
                <w:sz w:val="24"/>
                <w:szCs w:val="24"/>
                <w14:textFill>
                  <w14:solidFill>
                    <w14:schemeClr w14:val="tx1"/>
                  </w14:solidFill>
                </w14:textFill>
              </w:rPr>
            </w:pPr>
            <w:r>
              <w:rPr>
                <w:rFonts w:hint="eastAsia" w:ascii="Times New Roman" w:hAnsi="Times New Roman" w:eastAsia="仿宋"/>
                <w:b/>
                <w:bCs/>
                <w:color w:val="000000" w:themeColor="text1"/>
                <w:sz w:val="24"/>
                <w:szCs w:val="24"/>
                <w14:textFill>
                  <w14:solidFill>
                    <w14:schemeClr w14:val="tx1"/>
                  </w14:solidFill>
                </w14:textFill>
              </w:rPr>
              <w:t>钦南区</w:t>
            </w:r>
          </w:p>
          <w:p>
            <w:pPr>
              <w:adjustRightInd w:val="0"/>
              <w:snapToGrid w:val="0"/>
              <w:jc w:val="center"/>
              <w:rPr>
                <w:rFonts w:ascii="Times New Roman" w:hAnsi="Times New Roman" w:eastAsia="仿宋"/>
                <w:b/>
                <w:bCs/>
                <w:color w:val="000000" w:themeColor="text1"/>
                <w:sz w:val="24"/>
                <w:szCs w:val="24"/>
                <w14:textFill>
                  <w14:solidFill>
                    <w14:schemeClr w14:val="tx1"/>
                  </w14:solidFill>
                </w14:textFill>
              </w:rPr>
            </w:pPr>
            <w:r>
              <w:rPr>
                <w:rFonts w:hint="eastAsia" w:ascii="Times New Roman" w:hAnsi="Times New Roman" w:eastAsia="仿宋"/>
                <w:b/>
                <w:bCs/>
                <w:color w:val="000000" w:themeColor="text1"/>
                <w:sz w:val="24"/>
                <w:szCs w:val="24"/>
                <w14:textFill>
                  <w14:solidFill>
                    <w14:schemeClr w14:val="tx1"/>
                  </w14:solidFill>
                </w14:textFill>
              </w:rPr>
              <w:t>（含钦州港）</w:t>
            </w:r>
          </w:p>
        </w:tc>
        <w:tc>
          <w:tcPr>
            <w:tcW w:w="721" w:type="pct"/>
            <w:vAlign w:val="center"/>
          </w:tcPr>
          <w:p>
            <w:pPr>
              <w:adjustRightInd w:val="0"/>
              <w:snapToGrid w:val="0"/>
              <w:jc w:val="center"/>
              <w:rPr>
                <w:rFonts w:ascii="Times New Roman" w:hAnsi="Times New Roman" w:eastAsia="仿宋"/>
                <w:b/>
                <w:bCs/>
                <w:color w:val="000000" w:themeColor="text1"/>
                <w:sz w:val="24"/>
                <w:szCs w:val="24"/>
                <w14:textFill>
                  <w14:solidFill>
                    <w14:schemeClr w14:val="tx1"/>
                  </w14:solidFill>
                </w14:textFill>
              </w:rPr>
            </w:pPr>
            <w:r>
              <w:rPr>
                <w:rFonts w:hint="eastAsia" w:ascii="Times New Roman" w:hAnsi="Times New Roman" w:eastAsia="仿宋"/>
                <w:b/>
                <w:bCs/>
                <w:color w:val="000000" w:themeColor="text1"/>
                <w:sz w:val="24"/>
                <w:szCs w:val="24"/>
                <w14:textFill>
                  <w14:solidFill>
                    <w14:schemeClr w14:val="tx1"/>
                  </w14:solidFill>
                </w14:textFill>
              </w:rPr>
              <w:t>钦北区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7"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商品混凝土产量</w:t>
            </w:r>
          </w:p>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(万立方米)</w:t>
            </w:r>
          </w:p>
        </w:tc>
        <w:tc>
          <w:tcPr>
            <w:tcW w:w="596"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591</w:t>
            </w:r>
          </w:p>
        </w:tc>
        <w:tc>
          <w:tcPr>
            <w:tcW w:w="696"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118</w:t>
            </w:r>
          </w:p>
        </w:tc>
        <w:tc>
          <w:tcPr>
            <w:tcW w:w="724"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70</w:t>
            </w:r>
          </w:p>
        </w:tc>
        <w:tc>
          <w:tcPr>
            <w:tcW w:w="933"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344</w:t>
            </w:r>
          </w:p>
        </w:tc>
        <w:tc>
          <w:tcPr>
            <w:tcW w:w="721"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7"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产能利用率</w:t>
            </w:r>
            <w:r>
              <w:rPr>
                <w:rFonts w:hint="eastAsia" w:ascii="Times New Roman" w:hAnsi="Times New Roman" w:eastAsia="仿宋"/>
                <w:color w:val="000000" w:themeColor="text1"/>
                <w:sz w:val="24"/>
                <w:szCs w:val="24"/>
                <w14:textFill>
                  <w14:solidFill>
                    <w14:schemeClr w14:val="tx1"/>
                  </w14:solidFill>
                </w14:textFill>
              </w:rPr>
              <w:t>%</w:t>
            </w:r>
          </w:p>
        </w:tc>
        <w:tc>
          <w:tcPr>
            <w:tcW w:w="596"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23</w:t>
            </w:r>
          </w:p>
        </w:tc>
        <w:tc>
          <w:tcPr>
            <w:tcW w:w="696"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18</w:t>
            </w:r>
          </w:p>
        </w:tc>
        <w:tc>
          <w:tcPr>
            <w:tcW w:w="724"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24</w:t>
            </w:r>
          </w:p>
        </w:tc>
        <w:tc>
          <w:tcPr>
            <w:tcW w:w="933"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28</w:t>
            </w:r>
          </w:p>
        </w:tc>
        <w:tc>
          <w:tcPr>
            <w:tcW w:w="721"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15</w:t>
            </w:r>
          </w:p>
        </w:tc>
      </w:tr>
    </w:tbl>
    <w:p>
      <w:pPr>
        <w:spacing w:line="360" w:lineRule="auto"/>
        <w:ind w:firstLine="640" w:firstLineChars="200"/>
        <w:rPr>
          <w:rFonts w:ascii="Times New Roman" w:hAnsi="Times New Roman" w:eastAsia="仿宋"/>
          <w:color w:val="000000" w:themeColor="text1"/>
          <w:sz w:val="32"/>
          <w:szCs w:val="32"/>
          <w14:textFill>
            <w14:solidFill>
              <w14:schemeClr w14:val="tx1"/>
            </w14:solidFill>
          </w14:textFill>
        </w:rPr>
      </w:pPr>
    </w:p>
    <w:p>
      <w:pPr>
        <w:spacing w:line="360" w:lineRule="auto"/>
        <w:ind w:firstLine="640" w:firstLineChars="200"/>
        <w:rPr>
          <w:rFonts w:ascii="Times New Roman" w:hAnsi="Times New Roman" w:eastAsia="仿宋"/>
          <w:color w:val="000000" w:themeColor="text1"/>
          <w:sz w:val="32"/>
          <w:szCs w:val="32"/>
          <w14:textFill>
            <w14:solidFill>
              <w14:schemeClr w14:val="tx1"/>
            </w14:solidFill>
          </w14:textFill>
        </w:rPr>
      </w:pPr>
      <w:r>
        <w:rPr>
          <w:rFonts w:ascii="Times New Roman" w:hAnsi="Times New Roman" w:eastAsia="仿宋"/>
          <w:color w:val="000000" w:themeColor="text1"/>
          <w:sz w:val="32"/>
          <w:szCs w:val="32"/>
          <w14:textFill>
            <w14:solidFill>
              <w14:schemeClr w14:val="tx1"/>
            </w14:solidFill>
          </w14:textFill>
        </w:rPr>
        <w:t>3、预拌混凝土生产情况</w:t>
      </w:r>
    </w:p>
    <w:p>
      <w:pPr>
        <w:spacing w:line="360" w:lineRule="auto"/>
        <w:ind w:firstLine="640" w:firstLineChars="200"/>
        <w:rPr>
          <w:rFonts w:ascii="Times New Roman" w:hAnsi="Times New Roman" w:eastAsia="仿宋"/>
          <w:color w:val="000000" w:themeColor="text1"/>
          <w:sz w:val="32"/>
          <w:szCs w:val="32"/>
          <w14:textFill>
            <w14:solidFill>
              <w14:schemeClr w14:val="tx1"/>
            </w14:solidFill>
          </w14:textFill>
        </w:rPr>
      </w:pPr>
      <w:r>
        <w:rPr>
          <w:rFonts w:ascii="Times New Roman" w:hAnsi="Times New Roman" w:eastAsia="仿宋"/>
          <w:color w:val="000000" w:themeColor="text1"/>
          <w:sz w:val="32"/>
          <w:szCs w:val="32"/>
          <w14:textFill>
            <w14:solidFill>
              <w14:schemeClr w14:val="tx1"/>
            </w14:solidFill>
          </w14:textFill>
        </w:rPr>
        <w:t>202</w:t>
      </w:r>
      <w:r>
        <w:rPr>
          <w:rFonts w:hint="eastAsia" w:ascii="Times New Roman" w:hAnsi="Times New Roman" w:eastAsia="仿宋"/>
          <w:color w:val="000000" w:themeColor="text1"/>
          <w:sz w:val="32"/>
          <w:szCs w:val="32"/>
          <w14:textFill>
            <w14:solidFill>
              <w14:schemeClr w14:val="tx1"/>
            </w14:solidFill>
          </w14:textFill>
        </w:rPr>
        <w:t>1</w:t>
      </w:r>
      <w:r>
        <w:rPr>
          <w:rFonts w:ascii="Times New Roman" w:hAnsi="Times New Roman" w:eastAsia="仿宋"/>
          <w:color w:val="000000" w:themeColor="text1"/>
          <w:sz w:val="32"/>
          <w:szCs w:val="32"/>
          <w14:textFill>
            <w14:solidFill>
              <w14:schemeClr w14:val="tx1"/>
            </w14:solidFill>
          </w14:textFill>
        </w:rPr>
        <w:t>年钦州市预拌混凝土产品产值约</w:t>
      </w:r>
      <w:r>
        <w:rPr>
          <w:rFonts w:hint="eastAsia" w:ascii="Times New Roman" w:hAnsi="Times New Roman" w:eastAsia="仿宋"/>
          <w:color w:val="000000" w:themeColor="text1"/>
          <w:sz w:val="32"/>
          <w:szCs w:val="32"/>
          <w14:textFill>
            <w14:solidFill>
              <w14:schemeClr w14:val="tx1"/>
            </w14:solidFill>
          </w14:textFill>
        </w:rPr>
        <w:t>22.98亿</w:t>
      </w:r>
      <w:r>
        <w:rPr>
          <w:rFonts w:ascii="Times New Roman" w:hAnsi="Times New Roman" w:eastAsia="仿宋"/>
          <w:color w:val="000000" w:themeColor="text1"/>
          <w:sz w:val="32"/>
          <w:szCs w:val="32"/>
          <w14:textFill>
            <w14:solidFill>
              <w14:schemeClr w14:val="tx1"/>
            </w14:solidFill>
          </w14:textFill>
        </w:rPr>
        <w:t>元，生产能源消费量约为</w:t>
      </w:r>
      <w:r>
        <w:rPr>
          <w:rFonts w:hint="eastAsia" w:ascii="Times New Roman" w:hAnsi="Times New Roman" w:eastAsia="仿宋"/>
          <w:color w:val="000000" w:themeColor="text1"/>
          <w:sz w:val="32"/>
          <w:szCs w:val="32"/>
          <w14:textFill>
            <w14:solidFill>
              <w14:schemeClr w14:val="tx1"/>
            </w14:solidFill>
          </w14:textFill>
        </w:rPr>
        <w:t>7182.13</w:t>
      </w:r>
      <w:r>
        <w:rPr>
          <w:rFonts w:ascii="Times New Roman" w:hAnsi="Times New Roman" w:eastAsia="仿宋"/>
          <w:color w:val="000000" w:themeColor="text1"/>
          <w:sz w:val="32"/>
          <w:szCs w:val="32"/>
          <w14:textFill>
            <w14:solidFill>
              <w14:schemeClr w14:val="tx1"/>
            </w14:solidFill>
          </w14:textFill>
        </w:rPr>
        <w:t>吨标煤，其中每万元产值能耗约为</w:t>
      </w:r>
      <w:r>
        <w:rPr>
          <w:rFonts w:hint="eastAsia" w:ascii="Times New Roman" w:hAnsi="Times New Roman" w:eastAsia="仿宋"/>
          <w:color w:val="000000" w:themeColor="text1"/>
          <w:sz w:val="32"/>
          <w:szCs w:val="32"/>
          <w14:textFill>
            <w14:solidFill>
              <w14:schemeClr w14:val="tx1"/>
            </w14:solidFill>
          </w14:textFill>
        </w:rPr>
        <w:t>0.04</w:t>
      </w:r>
      <w:r>
        <w:rPr>
          <w:rFonts w:ascii="Times New Roman" w:hAnsi="Times New Roman" w:eastAsia="仿宋"/>
          <w:color w:val="000000" w:themeColor="text1"/>
          <w:sz w:val="32"/>
          <w:szCs w:val="32"/>
          <w14:textFill>
            <w14:solidFill>
              <w14:schemeClr w14:val="tx1"/>
            </w14:solidFill>
          </w14:textFill>
        </w:rPr>
        <w:t>tce。</w:t>
      </w:r>
    </w:p>
    <w:p>
      <w:pPr>
        <w:spacing w:line="360" w:lineRule="auto"/>
        <w:ind w:firstLine="643" w:firstLineChars="200"/>
        <w:outlineLvl w:val="2"/>
        <w:rPr>
          <w:rFonts w:ascii="Times New Roman" w:hAnsi="Times New Roman" w:eastAsia="仿宋"/>
          <w:b/>
          <w:color w:val="000000" w:themeColor="text1"/>
          <w:sz w:val="32"/>
          <w:szCs w:val="32"/>
          <w14:textFill>
            <w14:solidFill>
              <w14:schemeClr w14:val="tx1"/>
            </w14:solidFill>
          </w14:textFill>
        </w:rPr>
      </w:pPr>
      <w:r>
        <w:rPr>
          <w:rFonts w:ascii="Times New Roman" w:hAnsi="Times New Roman" w:eastAsia="仿宋"/>
          <w:b/>
          <w:color w:val="000000" w:themeColor="text1"/>
          <w:sz w:val="32"/>
          <w:szCs w:val="32"/>
          <w14:textFill>
            <w14:solidFill>
              <w14:schemeClr w14:val="tx1"/>
            </w14:solidFill>
          </w14:textFill>
        </w:rPr>
        <w:t>（三）预拌砂浆行业</w:t>
      </w:r>
    </w:p>
    <w:p>
      <w:pPr>
        <w:spacing w:line="360" w:lineRule="auto"/>
        <w:ind w:firstLine="640" w:firstLineChars="200"/>
        <w:rPr>
          <w:rFonts w:ascii="Times New Roman" w:hAnsi="Times New Roman" w:eastAsia="仿宋"/>
          <w:color w:val="000000" w:themeColor="text1"/>
          <w:sz w:val="32"/>
          <w:szCs w:val="32"/>
          <w14:textFill>
            <w14:solidFill>
              <w14:schemeClr w14:val="tx1"/>
            </w14:solidFill>
          </w14:textFill>
        </w:rPr>
        <w:sectPr>
          <w:pgSz w:w="11906" w:h="16838"/>
          <w:pgMar w:top="1440" w:right="1800" w:bottom="1440" w:left="1800" w:header="851" w:footer="992" w:gutter="0"/>
          <w:cols w:space="425" w:num="1"/>
          <w:docGrid w:type="lines" w:linePitch="312" w:charSpace="0"/>
        </w:sectPr>
      </w:pPr>
      <w:r>
        <w:rPr>
          <w:rFonts w:ascii="Times New Roman" w:hAnsi="Times New Roman" w:eastAsia="仿宋"/>
          <w:color w:val="000000" w:themeColor="text1"/>
          <w:sz w:val="32"/>
          <w:szCs w:val="32"/>
          <w14:textFill>
            <w14:solidFill>
              <w14:schemeClr w14:val="tx1"/>
            </w14:solidFill>
          </w14:textFill>
        </w:rPr>
        <w:t>截至2021年底，钦州市已投产的预拌砂浆企业共有</w:t>
      </w:r>
      <w:r>
        <w:rPr>
          <w:rFonts w:hint="eastAsia" w:ascii="Times New Roman" w:hAnsi="Times New Roman" w:eastAsia="仿宋"/>
          <w:color w:val="000000" w:themeColor="text1"/>
          <w:sz w:val="32"/>
          <w:szCs w:val="32"/>
          <w14:textFill>
            <w14:solidFill>
              <w14:schemeClr w14:val="tx1"/>
            </w14:solidFill>
          </w14:textFill>
        </w:rPr>
        <w:t>6</w:t>
      </w:r>
      <w:r>
        <w:rPr>
          <w:rFonts w:ascii="Times New Roman" w:hAnsi="Times New Roman" w:eastAsia="仿宋"/>
          <w:color w:val="000000" w:themeColor="text1"/>
          <w:sz w:val="32"/>
          <w:szCs w:val="32"/>
          <w14:textFill>
            <w14:solidFill>
              <w14:schemeClr w14:val="tx1"/>
            </w14:solidFill>
          </w14:textFill>
        </w:rPr>
        <w:t>家，设计总产能</w:t>
      </w:r>
      <w:r>
        <w:rPr>
          <w:rFonts w:hint="eastAsia" w:ascii="Times New Roman" w:hAnsi="Times New Roman" w:eastAsia="仿宋"/>
          <w:color w:val="000000" w:themeColor="text1"/>
          <w:sz w:val="32"/>
          <w:szCs w:val="32"/>
          <w14:textFill>
            <w14:solidFill>
              <w14:schemeClr w14:val="tx1"/>
            </w14:solidFill>
          </w14:textFill>
        </w:rPr>
        <w:t>140</w:t>
      </w:r>
      <w:r>
        <w:rPr>
          <w:rFonts w:ascii="Times New Roman" w:hAnsi="Times New Roman" w:eastAsia="仿宋"/>
          <w:color w:val="000000" w:themeColor="text1"/>
          <w:sz w:val="32"/>
          <w:szCs w:val="32"/>
          <w14:textFill>
            <w14:solidFill>
              <w14:schemeClr w14:val="tx1"/>
            </w14:solidFill>
          </w14:textFill>
        </w:rPr>
        <w:t>万吨/年</w:t>
      </w:r>
      <w:r>
        <w:rPr>
          <w:rFonts w:hint="eastAsia" w:ascii="Times New Roman" w:hAnsi="Times New Roman" w:eastAsia="仿宋"/>
          <w:color w:val="000000" w:themeColor="text1"/>
          <w:sz w:val="32"/>
          <w:szCs w:val="32"/>
          <w14:textFill>
            <w14:solidFill>
              <w14:schemeClr w14:val="tx1"/>
            </w14:solidFill>
          </w14:textFill>
        </w:rPr>
        <w:t>，总产能利用率为29%，干混砂浆产品主要销往广西各市及广东湛江、佛山等市。其中</w:t>
      </w:r>
      <w:r>
        <w:rPr>
          <w:rFonts w:ascii="Times New Roman" w:hAnsi="Times New Roman" w:eastAsia="仿宋"/>
          <w:color w:val="000000" w:themeColor="text1"/>
          <w:sz w:val="32"/>
          <w:szCs w:val="32"/>
          <w14:textFill>
            <w14:solidFill>
              <w14:schemeClr w14:val="tx1"/>
            </w14:solidFill>
          </w14:textFill>
        </w:rPr>
        <w:t>灵山县1家</w:t>
      </w:r>
      <w:r>
        <w:rPr>
          <w:rFonts w:hint="eastAsia" w:ascii="Times New Roman" w:hAnsi="Times New Roman" w:eastAsia="仿宋"/>
          <w:color w:val="000000" w:themeColor="text1"/>
          <w:sz w:val="32"/>
          <w:szCs w:val="32"/>
          <w14:textFill>
            <w14:solidFill>
              <w14:schemeClr w14:val="tx1"/>
            </w14:solidFill>
          </w14:textFill>
        </w:rPr>
        <w:t>，产品以干混砂浆为主，设计产能为年产30万吨；</w:t>
      </w:r>
      <w:r>
        <w:rPr>
          <w:rFonts w:ascii="Times New Roman" w:hAnsi="Times New Roman" w:eastAsia="仿宋"/>
          <w:color w:val="000000" w:themeColor="text1"/>
          <w:sz w:val="32"/>
          <w:szCs w:val="32"/>
          <w14:textFill>
            <w14:solidFill>
              <w14:schemeClr w14:val="tx1"/>
            </w14:solidFill>
          </w14:textFill>
        </w:rPr>
        <w:t>浦北县2家，</w:t>
      </w:r>
      <w:r>
        <w:rPr>
          <w:rFonts w:hint="eastAsia" w:ascii="Times New Roman" w:hAnsi="Times New Roman" w:eastAsia="仿宋"/>
          <w:color w:val="000000" w:themeColor="text1"/>
          <w:sz w:val="32"/>
          <w:szCs w:val="32"/>
          <w14:textFill>
            <w14:solidFill>
              <w14:schemeClr w14:val="tx1"/>
            </w14:solidFill>
          </w14:textFill>
        </w:rPr>
        <w:t>产品全部为干混砂浆，设计产能分别为年产30万吨和年产20万吨；</w:t>
      </w:r>
      <w:r>
        <w:rPr>
          <w:rFonts w:ascii="Times New Roman" w:hAnsi="Times New Roman" w:eastAsia="仿宋"/>
          <w:color w:val="000000" w:themeColor="text1"/>
          <w:sz w:val="32"/>
          <w:szCs w:val="32"/>
          <w14:textFill>
            <w14:solidFill>
              <w14:schemeClr w14:val="tx1"/>
            </w14:solidFill>
          </w14:textFill>
        </w:rPr>
        <w:t>钦南区</w:t>
      </w:r>
      <w:r>
        <w:rPr>
          <w:rFonts w:hint="eastAsia" w:ascii="Times New Roman" w:hAnsi="Times New Roman" w:eastAsia="仿宋"/>
          <w:color w:val="000000" w:themeColor="text1"/>
          <w:sz w:val="32"/>
          <w:szCs w:val="32"/>
          <w14:textFill>
            <w14:solidFill>
              <w14:schemeClr w14:val="tx1"/>
            </w14:solidFill>
          </w14:textFill>
        </w:rPr>
        <w:t>3</w:t>
      </w:r>
      <w:r>
        <w:rPr>
          <w:rFonts w:ascii="Times New Roman" w:hAnsi="Times New Roman" w:eastAsia="仿宋"/>
          <w:color w:val="000000" w:themeColor="text1"/>
          <w:sz w:val="32"/>
          <w:szCs w:val="32"/>
          <w14:textFill>
            <w14:solidFill>
              <w14:schemeClr w14:val="tx1"/>
            </w14:solidFill>
          </w14:textFill>
        </w:rPr>
        <w:t>家，</w:t>
      </w:r>
      <w:r>
        <w:rPr>
          <w:rFonts w:hint="eastAsia" w:ascii="Times New Roman" w:hAnsi="Times New Roman" w:eastAsia="仿宋"/>
          <w:color w:val="000000" w:themeColor="text1"/>
          <w:sz w:val="32"/>
          <w:szCs w:val="32"/>
          <w14:textFill>
            <w14:solidFill>
              <w14:schemeClr w14:val="tx1"/>
            </w14:solidFill>
          </w14:textFill>
        </w:rPr>
        <w:t>其中2家设计产能为年产干混砂浆30万吨，1家设计产能为年产湿拌砂浆15万立方米。</w:t>
      </w:r>
      <w:r>
        <w:rPr>
          <w:rFonts w:ascii="Times New Roman" w:hAnsi="Times New Roman" w:eastAsia="仿宋"/>
          <w:color w:val="000000" w:themeColor="text1"/>
          <w:sz w:val="32"/>
          <w:szCs w:val="32"/>
          <w14:textFill>
            <w14:solidFill>
              <w14:schemeClr w14:val="tx1"/>
            </w14:solidFill>
          </w14:textFill>
        </w:rPr>
        <w:t>全市预拌砂浆生产企业情况表如表1-</w:t>
      </w:r>
      <w:r>
        <w:rPr>
          <w:rFonts w:hint="eastAsia" w:ascii="Times New Roman" w:hAnsi="Times New Roman" w:eastAsia="仿宋"/>
          <w:color w:val="000000" w:themeColor="text1"/>
          <w:sz w:val="32"/>
          <w:szCs w:val="32"/>
          <w14:textFill>
            <w14:solidFill>
              <w14:schemeClr w14:val="tx1"/>
            </w14:solidFill>
          </w14:textFill>
        </w:rPr>
        <w:t>4</w:t>
      </w:r>
      <w:r>
        <w:rPr>
          <w:rFonts w:ascii="Times New Roman" w:hAnsi="Times New Roman" w:eastAsia="仿宋"/>
          <w:color w:val="000000" w:themeColor="text1"/>
          <w:sz w:val="32"/>
          <w:szCs w:val="32"/>
          <w14:textFill>
            <w14:solidFill>
              <w14:schemeClr w14:val="tx1"/>
            </w14:solidFill>
          </w14:textFill>
        </w:rPr>
        <w:t>所示。</w:t>
      </w:r>
    </w:p>
    <w:p>
      <w:pPr>
        <w:adjustRightInd w:val="0"/>
        <w:snapToGrid w:val="0"/>
        <w:jc w:val="center"/>
        <w:rPr>
          <w:rFonts w:ascii="Times New Roman" w:hAnsi="Times New Roman" w:eastAsia="仿宋"/>
          <w:b/>
          <w:bCs/>
          <w:color w:val="000000" w:themeColor="text1"/>
          <w:sz w:val="24"/>
          <w:szCs w:val="24"/>
          <w14:textFill>
            <w14:solidFill>
              <w14:schemeClr w14:val="tx1"/>
            </w14:solidFill>
          </w14:textFill>
        </w:rPr>
      </w:pPr>
      <w:r>
        <w:rPr>
          <w:rFonts w:ascii="Times New Roman" w:hAnsi="Times New Roman" w:eastAsia="仿宋"/>
          <w:b/>
          <w:bCs/>
          <w:color w:val="000000" w:themeColor="text1"/>
          <w:sz w:val="24"/>
          <w:szCs w:val="24"/>
          <w14:textFill>
            <w14:solidFill>
              <w14:schemeClr w14:val="tx1"/>
            </w14:solidFill>
          </w14:textFill>
        </w:rPr>
        <w:t>1-</w:t>
      </w:r>
      <w:r>
        <w:rPr>
          <w:rFonts w:hint="eastAsia" w:ascii="Times New Roman" w:hAnsi="Times New Roman" w:eastAsia="仿宋"/>
          <w:b/>
          <w:bCs/>
          <w:color w:val="000000" w:themeColor="text1"/>
          <w:sz w:val="24"/>
          <w:szCs w:val="24"/>
          <w14:textFill>
            <w14:solidFill>
              <w14:schemeClr w14:val="tx1"/>
            </w14:solidFill>
          </w14:textFill>
        </w:rPr>
        <w:t xml:space="preserve">4 </w:t>
      </w:r>
      <w:r>
        <w:rPr>
          <w:rFonts w:ascii="Times New Roman" w:hAnsi="Times New Roman" w:eastAsia="仿宋"/>
          <w:b/>
          <w:bCs/>
          <w:color w:val="000000" w:themeColor="text1"/>
          <w:sz w:val="24"/>
          <w:szCs w:val="24"/>
          <w14:textFill>
            <w14:solidFill>
              <w14:schemeClr w14:val="tx1"/>
            </w14:solidFill>
          </w14:textFill>
        </w:rPr>
        <w:t>钦州市预拌砂浆生产企业汇总表（</w:t>
      </w:r>
      <w:r>
        <w:rPr>
          <w:rFonts w:hint="eastAsia" w:ascii="Times New Roman" w:hAnsi="Times New Roman" w:eastAsia="仿宋"/>
          <w:b/>
          <w:bCs/>
          <w:color w:val="000000" w:themeColor="text1"/>
          <w:sz w:val="24"/>
          <w:szCs w:val="24"/>
          <w14:textFill>
            <w14:solidFill>
              <w14:schemeClr w14:val="tx1"/>
            </w14:solidFill>
          </w14:textFill>
        </w:rPr>
        <w:t>截至</w:t>
      </w:r>
      <w:r>
        <w:rPr>
          <w:rFonts w:ascii="Times New Roman" w:hAnsi="Times New Roman" w:eastAsia="仿宋"/>
          <w:b/>
          <w:bCs/>
          <w:color w:val="000000" w:themeColor="text1"/>
          <w:sz w:val="24"/>
          <w:szCs w:val="24"/>
          <w14:textFill>
            <w14:solidFill>
              <w14:schemeClr w14:val="tx1"/>
            </w14:solidFill>
          </w14:textFill>
        </w:rPr>
        <w:t>2021年底）</w:t>
      </w:r>
    </w:p>
    <w:tbl>
      <w:tblPr>
        <w:tblStyle w:val="15"/>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4"/>
        <w:gridCol w:w="998"/>
        <w:gridCol w:w="3818"/>
        <w:gridCol w:w="3660"/>
        <w:gridCol w:w="1205"/>
        <w:gridCol w:w="1724"/>
        <w:gridCol w:w="17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5" w:type="pct"/>
            <w:vAlign w:val="center"/>
          </w:tcPr>
          <w:p>
            <w:pPr>
              <w:adjustRightInd w:val="0"/>
              <w:snapToGrid w:val="0"/>
              <w:jc w:val="center"/>
              <w:rPr>
                <w:rFonts w:ascii="Times New Roman" w:hAnsi="Times New Roman" w:eastAsia="仿宋"/>
                <w:b/>
                <w:bCs/>
                <w:color w:val="000000" w:themeColor="text1"/>
                <w:sz w:val="24"/>
                <w:szCs w:val="24"/>
                <w14:textFill>
                  <w14:solidFill>
                    <w14:schemeClr w14:val="tx1"/>
                  </w14:solidFill>
                </w14:textFill>
              </w:rPr>
            </w:pPr>
            <w:r>
              <w:rPr>
                <w:rFonts w:ascii="Times New Roman" w:hAnsi="Times New Roman" w:eastAsia="仿宋"/>
                <w:b/>
                <w:bCs/>
                <w:color w:val="000000" w:themeColor="text1"/>
                <w:sz w:val="24"/>
                <w:szCs w:val="24"/>
                <w14:textFill>
                  <w14:solidFill>
                    <w14:schemeClr w14:val="tx1"/>
                  </w14:solidFill>
                </w14:textFill>
              </w:rPr>
              <w:t>地区</w:t>
            </w:r>
          </w:p>
        </w:tc>
        <w:tc>
          <w:tcPr>
            <w:tcW w:w="352" w:type="pct"/>
            <w:vAlign w:val="center"/>
          </w:tcPr>
          <w:p>
            <w:pPr>
              <w:adjustRightInd w:val="0"/>
              <w:snapToGrid w:val="0"/>
              <w:jc w:val="center"/>
              <w:rPr>
                <w:rFonts w:ascii="Times New Roman" w:hAnsi="Times New Roman" w:eastAsia="仿宋"/>
                <w:b/>
                <w:bCs/>
                <w:color w:val="000000" w:themeColor="text1"/>
                <w:sz w:val="24"/>
                <w:szCs w:val="24"/>
                <w14:textFill>
                  <w14:solidFill>
                    <w14:schemeClr w14:val="tx1"/>
                  </w14:solidFill>
                </w14:textFill>
              </w:rPr>
            </w:pPr>
            <w:r>
              <w:rPr>
                <w:rFonts w:ascii="Times New Roman" w:hAnsi="Times New Roman" w:eastAsia="仿宋"/>
                <w:b/>
                <w:bCs/>
                <w:color w:val="000000" w:themeColor="text1"/>
                <w:sz w:val="24"/>
                <w:szCs w:val="24"/>
                <w14:textFill>
                  <w14:solidFill>
                    <w14:schemeClr w14:val="tx1"/>
                  </w14:solidFill>
                </w14:textFill>
              </w:rPr>
              <w:t>序号</w:t>
            </w:r>
          </w:p>
        </w:tc>
        <w:tc>
          <w:tcPr>
            <w:tcW w:w="1347" w:type="pct"/>
            <w:vAlign w:val="center"/>
          </w:tcPr>
          <w:p>
            <w:pPr>
              <w:adjustRightInd w:val="0"/>
              <w:snapToGrid w:val="0"/>
              <w:jc w:val="center"/>
              <w:rPr>
                <w:rFonts w:ascii="Times New Roman" w:hAnsi="Times New Roman" w:eastAsia="仿宋"/>
                <w:b/>
                <w:bCs/>
                <w:color w:val="000000" w:themeColor="text1"/>
                <w:sz w:val="24"/>
                <w:szCs w:val="24"/>
                <w14:textFill>
                  <w14:solidFill>
                    <w14:schemeClr w14:val="tx1"/>
                  </w14:solidFill>
                </w14:textFill>
              </w:rPr>
            </w:pPr>
            <w:r>
              <w:rPr>
                <w:rFonts w:ascii="Times New Roman" w:hAnsi="Times New Roman" w:eastAsia="仿宋"/>
                <w:b/>
                <w:bCs/>
                <w:color w:val="000000" w:themeColor="text1"/>
                <w:sz w:val="24"/>
                <w:szCs w:val="24"/>
                <w14:textFill>
                  <w14:solidFill>
                    <w14:schemeClr w14:val="tx1"/>
                  </w14:solidFill>
                </w14:textFill>
              </w:rPr>
              <w:t>企业名称</w:t>
            </w:r>
          </w:p>
        </w:tc>
        <w:tc>
          <w:tcPr>
            <w:tcW w:w="1291" w:type="pct"/>
            <w:vAlign w:val="center"/>
          </w:tcPr>
          <w:p>
            <w:pPr>
              <w:adjustRightInd w:val="0"/>
              <w:snapToGrid w:val="0"/>
              <w:jc w:val="center"/>
              <w:rPr>
                <w:rFonts w:ascii="Times New Roman" w:hAnsi="Times New Roman" w:eastAsia="仿宋"/>
                <w:b/>
                <w:bCs/>
                <w:color w:val="000000" w:themeColor="text1"/>
                <w:sz w:val="24"/>
                <w:szCs w:val="24"/>
                <w14:textFill>
                  <w14:solidFill>
                    <w14:schemeClr w14:val="tx1"/>
                  </w14:solidFill>
                </w14:textFill>
              </w:rPr>
            </w:pPr>
            <w:r>
              <w:rPr>
                <w:rFonts w:ascii="Times New Roman" w:hAnsi="Times New Roman" w:eastAsia="仿宋"/>
                <w:b/>
                <w:bCs/>
                <w:color w:val="000000" w:themeColor="text1"/>
                <w:sz w:val="24"/>
                <w:szCs w:val="24"/>
                <w14:textFill>
                  <w14:solidFill>
                    <w14:schemeClr w14:val="tx1"/>
                  </w14:solidFill>
                </w14:textFill>
              </w:rPr>
              <w:t>地址</w:t>
            </w:r>
          </w:p>
        </w:tc>
        <w:tc>
          <w:tcPr>
            <w:tcW w:w="425" w:type="pct"/>
            <w:vAlign w:val="center"/>
          </w:tcPr>
          <w:p>
            <w:pPr>
              <w:adjustRightInd w:val="0"/>
              <w:snapToGrid w:val="0"/>
              <w:jc w:val="center"/>
              <w:rPr>
                <w:rFonts w:ascii="Times New Roman" w:hAnsi="Times New Roman" w:eastAsia="仿宋"/>
                <w:b/>
                <w:bCs/>
                <w:color w:val="000000" w:themeColor="text1"/>
                <w:sz w:val="24"/>
                <w:szCs w:val="24"/>
                <w14:textFill>
                  <w14:solidFill>
                    <w14:schemeClr w14:val="tx1"/>
                  </w14:solidFill>
                </w14:textFill>
              </w:rPr>
            </w:pPr>
            <w:r>
              <w:rPr>
                <w:rFonts w:ascii="Times New Roman" w:hAnsi="Times New Roman" w:eastAsia="仿宋"/>
                <w:b/>
                <w:bCs/>
                <w:color w:val="000000" w:themeColor="text1"/>
                <w:sz w:val="24"/>
                <w:szCs w:val="24"/>
                <w14:textFill>
                  <w14:solidFill>
                    <w14:schemeClr w14:val="tx1"/>
                  </w14:solidFill>
                </w14:textFill>
              </w:rPr>
              <w:t>产能</w:t>
            </w:r>
          </w:p>
          <w:p>
            <w:pPr>
              <w:adjustRightInd w:val="0"/>
              <w:snapToGrid w:val="0"/>
              <w:jc w:val="center"/>
              <w:rPr>
                <w:rFonts w:ascii="Times New Roman" w:hAnsi="Times New Roman" w:eastAsia="仿宋"/>
                <w:b/>
                <w:bCs/>
                <w:color w:val="000000" w:themeColor="text1"/>
                <w:sz w:val="24"/>
                <w:szCs w:val="24"/>
                <w14:textFill>
                  <w14:solidFill>
                    <w14:schemeClr w14:val="tx1"/>
                  </w14:solidFill>
                </w14:textFill>
              </w:rPr>
            </w:pPr>
            <w:r>
              <w:rPr>
                <w:rFonts w:ascii="Times New Roman" w:hAnsi="Times New Roman" w:eastAsia="仿宋"/>
                <w:b/>
                <w:bCs/>
                <w:color w:val="000000" w:themeColor="text1"/>
                <w:sz w:val="24"/>
                <w:szCs w:val="24"/>
                <w14:textFill>
                  <w14:solidFill>
                    <w14:schemeClr w14:val="tx1"/>
                  </w14:solidFill>
                </w14:textFill>
              </w:rPr>
              <w:t>万吨/年</w:t>
            </w:r>
          </w:p>
        </w:tc>
        <w:tc>
          <w:tcPr>
            <w:tcW w:w="608" w:type="pct"/>
            <w:vAlign w:val="center"/>
          </w:tcPr>
          <w:p>
            <w:pPr>
              <w:adjustRightInd w:val="0"/>
              <w:snapToGrid w:val="0"/>
              <w:jc w:val="center"/>
              <w:rPr>
                <w:rFonts w:ascii="Times New Roman" w:hAnsi="Times New Roman" w:eastAsia="仿宋"/>
                <w:b/>
                <w:bCs/>
                <w:color w:val="000000" w:themeColor="text1"/>
                <w:sz w:val="24"/>
                <w:szCs w:val="24"/>
                <w14:textFill>
                  <w14:solidFill>
                    <w14:schemeClr w14:val="tx1"/>
                  </w14:solidFill>
                </w14:textFill>
              </w:rPr>
            </w:pPr>
            <w:r>
              <w:rPr>
                <w:rFonts w:hint="eastAsia" w:ascii="Times New Roman" w:hAnsi="Times New Roman" w:eastAsia="仿宋"/>
                <w:b/>
                <w:bCs/>
                <w:color w:val="000000" w:themeColor="text1"/>
                <w:sz w:val="24"/>
                <w:szCs w:val="24"/>
                <w14:textFill>
                  <w14:solidFill>
                    <w14:schemeClr w14:val="tx1"/>
                  </w14:solidFill>
                </w14:textFill>
              </w:rPr>
              <w:t>2021年产量</w:t>
            </w:r>
          </w:p>
          <w:p>
            <w:pPr>
              <w:adjustRightInd w:val="0"/>
              <w:snapToGrid w:val="0"/>
              <w:jc w:val="center"/>
              <w:rPr>
                <w:rFonts w:ascii="Times New Roman" w:hAnsi="Times New Roman" w:eastAsia="仿宋"/>
                <w:b/>
                <w:bCs/>
                <w:color w:val="000000" w:themeColor="text1"/>
                <w:sz w:val="24"/>
                <w:szCs w:val="24"/>
                <w14:textFill>
                  <w14:solidFill>
                    <w14:schemeClr w14:val="tx1"/>
                  </w14:solidFill>
                </w14:textFill>
              </w:rPr>
            </w:pPr>
            <w:r>
              <w:rPr>
                <w:rFonts w:hint="eastAsia" w:ascii="Times New Roman" w:hAnsi="Times New Roman" w:eastAsia="仿宋"/>
                <w:b/>
                <w:bCs/>
                <w:color w:val="000000" w:themeColor="text1"/>
                <w:sz w:val="24"/>
                <w:szCs w:val="24"/>
                <w14:textFill>
                  <w14:solidFill>
                    <w14:schemeClr w14:val="tx1"/>
                  </w14:solidFill>
                </w14:textFill>
              </w:rPr>
              <w:t>万吨/年</w:t>
            </w:r>
          </w:p>
        </w:tc>
        <w:tc>
          <w:tcPr>
            <w:tcW w:w="608" w:type="pct"/>
            <w:vAlign w:val="center"/>
          </w:tcPr>
          <w:p>
            <w:pPr>
              <w:adjustRightInd w:val="0"/>
              <w:snapToGrid w:val="0"/>
              <w:jc w:val="center"/>
              <w:rPr>
                <w:rFonts w:ascii="Times New Roman" w:hAnsi="Times New Roman" w:eastAsia="仿宋"/>
                <w:b/>
                <w:bCs/>
                <w:color w:val="000000" w:themeColor="text1"/>
                <w:sz w:val="24"/>
                <w:szCs w:val="24"/>
                <w14:textFill>
                  <w14:solidFill>
                    <w14:schemeClr w14:val="tx1"/>
                  </w14:solidFill>
                </w14:textFill>
              </w:rPr>
            </w:pPr>
            <w:r>
              <w:rPr>
                <w:rFonts w:hint="eastAsia" w:ascii="Times New Roman" w:hAnsi="Times New Roman" w:eastAsia="仿宋"/>
                <w:b/>
                <w:bCs/>
                <w:color w:val="000000" w:themeColor="text1"/>
                <w:sz w:val="24"/>
                <w:szCs w:val="24"/>
                <w14:textFill>
                  <w14:solidFill>
                    <w14:schemeClr w14:val="tx1"/>
                  </w14:solidFill>
                </w14:textFill>
              </w:rPr>
              <w:t>产能利用率%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5"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灵山县</w:t>
            </w:r>
          </w:p>
        </w:tc>
        <w:tc>
          <w:tcPr>
            <w:tcW w:w="352"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1</w:t>
            </w:r>
          </w:p>
        </w:tc>
        <w:tc>
          <w:tcPr>
            <w:tcW w:w="1347"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广西广皓新型建材有限公司</w:t>
            </w:r>
          </w:p>
        </w:tc>
        <w:tc>
          <w:tcPr>
            <w:tcW w:w="1291"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灵山县新圩镇容家村委六云村</w:t>
            </w:r>
          </w:p>
        </w:tc>
        <w:tc>
          <w:tcPr>
            <w:tcW w:w="425"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30</w:t>
            </w:r>
          </w:p>
        </w:tc>
        <w:tc>
          <w:tcPr>
            <w:tcW w:w="608"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2.9</w:t>
            </w:r>
          </w:p>
        </w:tc>
        <w:tc>
          <w:tcPr>
            <w:tcW w:w="608"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5" w:type="pct"/>
            <w:vMerge w:val="restar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浦北县</w:t>
            </w:r>
          </w:p>
        </w:tc>
        <w:tc>
          <w:tcPr>
            <w:tcW w:w="352"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2</w:t>
            </w:r>
          </w:p>
        </w:tc>
        <w:tc>
          <w:tcPr>
            <w:tcW w:w="1347"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浦北县建和建材有限公司</w:t>
            </w:r>
          </w:p>
        </w:tc>
        <w:tc>
          <w:tcPr>
            <w:tcW w:w="1291"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浦北县乐民产业园</w:t>
            </w:r>
          </w:p>
        </w:tc>
        <w:tc>
          <w:tcPr>
            <w:tcW w:w="425"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20</w:t>
            </w:r>
          </w:p>
        </w:tc>
        <w:tc>
          <w:tcPr>
            <w:tcW w:w="608"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5</w:t>
            </w:r>
          </w:p>
        </w:tc>
        <w:tc>
          <w:tcPr>
            <w:tcW w:w="608"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5" w:type="pct"/>
            <w:vMerge w:val="continue"/>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p>
        </w:tc>
        <w:tc>
          <w:tcPr>
            <w:tcW w:w="352"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3</w:t>
            </w:r>
          </w:p>
        </w:tc>
        <w:tc>
          <w:tcPr>
            <w:tcW w:w="1347"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浦北县特约建材有限公司</w:t>
            </w:r>
          </w:p>
        </w:tc>
        <w:tc>
          <w:tcPr>
            <w:tcW w:w="1291"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浦北县乐民产业园</w:t>
            </w:r>
          </w:p>
        </w:tc>
        <w:tc>
          <w:tcPr>
            <w:tcW w:w="425"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30</w:t>
            </w:r>
          </w:p>
        </w:tc>
        <w:tc>
          <w:tcPr>
            <w:tcW w:w="608"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15</w:t>
            </w:r>
          </w:p>
        </w:tc>
        <w:tc>
          <w:tcPr>
            <w:tcW w:w="608"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5" w:type="pct"/>
            <w:vMerge w:val="restar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钦南区</w:t>
            </w:r>
          </w:p>
        </w:tc>
        <w:tc>
          <w:tcPr>
            <w:tcW w:w="352"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4</w:t>
            </w:r>
          </w:p>
        </w:tc>
        <w:tc>
          <w:tcPr>
            <w:tcW w:w="1347"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广西万隆新型建材有限公司</w:t>
            </w:r>
          </w:p>
        </w:tc>
        <w:tc>
          <w:tcPr>
            <w:tcW w:w="1291"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钦州市钦南区康熙岭镇西围村委丝茅坪队</w:t>
            </w:r>
          </w:p>
        </w:tc>
        <w:tc>
          <w:tcPr>
            <w:tcW w:w="425"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30</w:t>
            </w:r>
          </w:p>
        </w:tc>
        <w:tc>
          <w:tcPr>
            <w:tcW w:w="608"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1.5</w:t>
            </w:r>
          </w:p>
        </w:tc>
        <w:tc>
          <w:tcPr>
            <w:tcW w:w="608"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5" w:type="pct"/>
            <w:vMerge w:val="continue"/>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p>
        </w:tc>
        <w:tc>
          <w:tcPr>
            <w:tcW w:w="352"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5</w:t>
            </w:r>
          </w:p>
        </w:tc>
        <w:tc>
          <w:tcPr>
            <w:tcW w:w="1347"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钦州市钦南区海特水泥制品厂</w:t>
            </w:r>
          </w:p>
        </w:tc>
        <w:tc>
          <w:tcPr>
            <w:tcW w:w="1291"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钦州市钦南区沙埠镇桥坪村委</w:t>
            </w:r>
          </w:p>
        </w:tc>
        <w:tc>
          <w:tcPr>
            <w:tcW w:w="425" w:type="pct"/>
            <w:vAlign w:val="center"/>
          </w:tcPr>
          <w:p>
            <w:pPr>
              <w:adjustRightInd w:val="0"/>
              <w:snapToGrid w:val="0"/>
              <w:jc w:val="center"/>
              <w:rPr>
                <w:rFonts w:ascii="Times New Roman" w:hAnsi="Times New Roman"/>
                <w:color w:val="000000" w:themeColor="text1"/>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20</w:t>
            </w:r>
          </w:p>
        </w:tc>
        <w:tc>
          <w:tcPr>
            <w:tcW w:w="608"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10.7</w:t>
            </w:r>
          </w:p>
        </w:tc>
        <w:tc>
          <w:tcPr>
            <w:tcW w:w="608"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5" w:type="pct"/>
            <w:vMerge w:val="continue"/>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p>
        </w:tc>
        <w:tc>
          <w:tcPr>
            <w:tcW w:w="352"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6</w:t>
            </w:r>
          </w:p>
        </w:tc>
        <w:tc>
          <w:tcPr>
            <w:tcW w:w="1347"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钦州市云辉建筑材料有限责任公司</w:t>
            </w:r>
          </w:p>
        </w:tc>
        <w:tc>
          <w:tcPr>
            <w:tcW w:w="1291"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钦州市钦南区沙埠镇桥坪村委</w:t>
            </w:r>
          </w:p>
        </w:tc>
        <w:tc>
          <w:tcPr>
            <w:tcW w:w="425"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10</w:t>
            </w:r>
          </w:p>
        </w:tc>
        <w:tc>
          <w:tcPr>
            <w:tcW w:w="608"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4.4</w:t>
            </w:r>
          </w:p>
        </w:tc>
        <w:tc>
          <w:tcPr>
            <w:tcW w:w="608"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5"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总计</w:t>
            </w:r>
          </w:p>
        </w:tc>
        <w:tc>
          <w:tcPr>
            <w:tcW w:w="352"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w:t>
            </w:r>
          </w:p>
        </w:tc>
        <w:tc>
          <w:tcPr>
            <w:tcW w:w="1347"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w:t>
            </w:r>
          </w:p>
        </w:tc>
        <w:tc>
          <w:tcPr>
            <w:tcW w:w="1291"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w:t>
            </w:r>
          </w:p>
        </w:tc>
        <w:tc>
          <w:tcPr>
            <w:tcW w:w="425"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140</w:t>
            </w:r>
          </w:p>
        </w:tc>
        <w:tc>
          <w:tcPr>
            <w:tcW w:w="608"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39.5</w:t>
            </w:r>
          </w:p>
        </w:tc>
        <w:tc>
          <w:tcPr>
            <w:tcW w:w="608"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28</w:t>
            </w:r>
          </w:p>
        </w:tc>
      </w:tr>
    </w:tbl>
    <w:p>
      <w:pPr>
        <w:spacing w:line="360" w:lineRule="auto"/>
        <w:ind w:firstLine="480" w:firstLineChars="200"/>
        <w:rPr>
          <w:rFonts w:ascii="Times New Roman" w:hAnsi="Times New Roman" w:eastAsia="仿宋"/>
          <w:b/>
          <w:color w:val="000000" w:themeColor="text1"/>
          <w:sz w:val="32"/>
          <w:szCs w:val="32"/>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注：钦州市云辉建筑材料有限责任公司产能为年产15万立方米湿拌砂浆，换算成干混砂浆为10万吨</w:t>
      </w:r>
    </w:p>
    <w:p>
      <w:pPr>
        <w:spacing w:line="360" w:lineRule="auto"/>
        <w:ind w:firstLine="643" w:firstLineChars="200"/>
        <w:rPr>
          <w:rFonts w:ascii="Times New Roman" w:hAnsi="Times New Roman" w:eastAsia="仿宋"/>
          <w:b/>
          <w:color w:val="000000" w:themeColor="text1"/>
          <w:sz w:val="32"/>
          <w:szCs w:val="32"/>
          <w14:textFill>
            <w14:solidFill>
              <w14:schemeClr w14:val="tx1"/>
            </w14:solidFill>
          </w14:textFill>
        </w:rPr>
      </w:pPr>
    </w:p>
    <w:p>
      <w:pPr>
        <w:spacing w:line="360" w:lineRule="auto"/>
        <w:ind w:firstLine="643" w:firstLineChars="200"/>
        <w:outlineLvl w:val="2"/>
        <w:rPr>
          <w:rFonts w:ascii="Times New Roman" w:hAnsi="Times New Roman" w:eastAsia="仿宋"/>
          <w:color w:val="000000" w:themeColor="text1"/>
          <w:sz w:val="32"/>
          <w:szCs w:val="32"/>
          <w14:textFill>
            <w14:solidFill>
              <w14:schemeClr w14:val="tx1"/>
            </w14:solidFill>
          </w14:textFill>
        </w:rPr>
      </w:pPr>
      <w:r>
        <w:rPr>
          <w:rFonts w:ascii="Times New Roman" w:hAnsi="Times New Roman" w:eastAsia="仿宋"/>
          <w:b/>
          <w:color w:val="000000" w:themeColor="text1"/>
          <w:sz w:val="32"/>
          <w:szCs w:val="32"/>
          <w14:textFill>
            <w14:solidFill>
              <w14:schemeClr w14:val="tx1"/>
            </w14:solidFill>
          </w14:textFill>
        </w:rPr>
        <w:t>（四）水泥制品行业</w:t>
      </w:r>
    </w:p>
    <w:p>
      <w:pPr>
        <w:spacing w:line="360" w:lineRule="auto"/>
        <w:ind w:firstLine="640" w:firstLineChars="200"/>
        <w:rPr>
          <w:rFonts w:ascii="Times New Roman" w:hAnsi="Times New Roman" w:eastAsia="仿宋"/>
          <w:color w:val="000000" w:themeColor="text1"/>
          <w:sz w:val="32"/>
          <w:szCs w:val="32"/>
          <w14:textFill>
            <w14:solidFill>
              <w14:schemeClr w14:val="tx1"/>
            </w14:solidFill>
          </w14:textFill>
        </w:rPr>
      </w:pPr>
      <w:r>
        <w:rPr>
          <w:rFonts w:ascii="Times New Roman" w:hAnsi="Times New Roman" w:eastAsia="仿宋"/>
          <w:color w:val="000000" w:themeColor="text1"/>
          <w:sz w:val="32"/>
          <w:szCs w:val="32"/>
          <w14:textFill>
            <w14:solidFill>
              <w14:schemeClr w14:val="tx1"/>
            </w14:solidFill>
          </w14:textFill>
        </w:rPr>
        <w:t>截</w:t>
      </w:r>
      <w:r>
        <w:rPr>
          <w:rFonts w:hint="eastAsia" w:ascii="Times New Roman" w:hAnsi="Times New Roman" w:eastAsia="仿宋"/>
          <w:color w:val="000000" w:themeColor="text1"/>
          <w:sz w:val="32"/>
          <w:szCs w:val="32"/>
          <w14:textFill>
            <w14:solidFill>
              <w14:schemeClr w14:val="tx1"/>
            </w14:solidFill>
          </w14:textFill>
        </w:rPr>
        <w:t>至</w:t>
      </w:r>
      <w:r>
        <w:rPr>
          <w:rFonts w:ascii="Times New Roman" w:hAnsi="Times New Roman" w:eastAsia="仿宋"/>
          <w:color w:val="000000" w:themeColor="text1"/>
          <w:sz w:val="32"/>
          <w:szCs w:val="32"/>
          <w14:textFill>
            <w14:solidFill>
              <w14:schemeClr w14:val="tx1"/>
            </w14:solidFill>
          </w14:textFill>
        </w:rPr>
        <w:t>2021年底，全市共有水泥制品企业</w:t>
      </w:r>
      <w:r>
        <w:rPr>
          <w:rFonts w:hint="eastAsia" w:ascii="Times New Roman" w:hAnsi="Times New Roman" w:eastAsia="仿宋"/>
          <w:color w:val="000000" w:themeColor="text1"/>
          <w:sz w:val="32"/>
          <w:szCs w:val="32"/>
          <w14:textFill>
            <w14:solidFill>
              <w14:schemeClr w14:val="tx1"/>
            </w14:solidFill>
          </w14:textFill>
        </w:rPr>
        <w:t>11</w:t>
      </w:r>
      <w:r>
        <w:rPr>
          <w:rFonts w:ascii="Times New Roman" w:hAnsi="Times New Roman" w:eastAsia="仿宋"/>
          <w:color w:val="000000" w:themeColor="text1"/>
          <w:sz w:val="32"/>
          <w:szCs w:val="32"/>
          <w14:textFill>
            <w14:solidFill>
              <w14:schemeClr w14:val="tx1"/>
            </w14:solidFill>
          </w14:textFill>
        </w:rPr>
        <w:t>家，灵山</w:t>
      </w:r>
      <w:r>
        <w:rPr>
          <w:rFonts w:hint="eastAsia" w:ascii="Times New Roman" w:hAnsi="Times New Roman" w:eastAsia="仿宋"/>
          <w:color w:val="000000" w:themeColor="text1"/>
          <w:sz w:val="32"/>
          <w:szCs w:val="32"/>
          <w14:textFill>
            <w14:solidFill>
              <w14:schemeClr w14:val="tx1"/>
            </w14:solidFill>
          </w14:textFill>
        </w:rPr>
        <w:t>县4</w:t>
      </w:r>
      <w:r>
        <w:rPr>
          <w:rFonts w:ascii="Times New Roman" w:hAnsi="Times New Roman" w:eastAsia="仿宋"/>
          <w:color w:val="000000" w:themeColor="text1"/>
          <w:sz w:val="32"/>
          <w:szCs w:val="32"/>
          <w14:textFill>
            <w14:solidFill>
              <w14:schemeClr w14:val="tx1"/>
            </w14:solidFill>
          </w14:textFill>
        </w:rPr>
        <w:t>家，以普通混凝土小型空心砌块为主，产品主要在灵山县范围内销售</w:t>
      </w:r>
      <w:r>
        <w:rPr>
          <w:rFonts w:hint="eastAsia" w:ascii="Times New Roman" w:hAnsi="Times New Roman" w:eastAsia="仿宋"/>
          <w:color w:val="000000" w:themeColor="text1"/>
          <w:sz w:val="32"/>
          <w:szCs w:val="32"/>
          <w14:textFill>
            <w14:solidFill>
              <w14:schemeClr w14:val="tx1"/>
            </w14:solidFill>
          </w14:textFill>
        </w:rPr>
        <w:t>；</w:t>
      </w:r>
      <w:r>
        <w:rPr>
          <w:rFonts w:ascii="Times New Roman" w:hAnsi="Times New Roman" w:eastAsia="仿宋"/>
          <w:color w:val="000000" w:themeColor="text1"/>
          <w:sz w:val="32"/>
          <w:szCs w:val="32"/>
          <w14:textFill>
            <w14:solidFill>
              <w14:schemeClr w14:val="tx1"/>
            </w14:solidFill>
          </w14:textFill>
        </w:rPr>
        <w:t>浦北县1家，主要生产线杆，产品</w:t>
      </w:r>
      <w:r>
        <w:rPr>
          <w:rFonts w:hint="eastAsia" w:ascii="Times New Roman" w:hAnsi="Times New Roman" w:eastAsia="仿宋"/>
          <w:color w:val="000000" w:themeColor="text1"/>
          <w:sz w:val="32"/>
          <w:szCs w:val="32"/>
          <w14:textFill>
            <w14:solidFill>
              <w14:schemeClr w14:val="tx1"/>
            </w14:solidFill>
          </w14:textFill>
        </w:rPr>
        <w:t>以</w:t>
      </w:r>
      <w:r>
        <w:rPr>
          <w:rFonts w:ascii="Times New Roman" w:hAnsi="Times New Roman" w:eastAsia="仿宋"/>
          <w:color w:val="000000" w:themeColor="text1"/>
          <w:sz w:val="32"/>
          <w:szCs w:val="32"/>
          <w14:textFill>
            <w14:solidFill>
              <w14:schemeClr w14:val="tx1"/>
            </w14:solidFill>
          </w14:textFill>
        </w:rPr>
        <w:t>广西区内销售</w:t>
      </w:r>
      <w:r>
        <w:rPr>
          <w:rFonts w:hint="eastAsia" w:ascii="Times New Roman" w:hAnsi="Times New Roman" w:eastAsia="仿宋"/>
          <w:color w:val="000000" w:themeColor="text1"/>
          <w:sz w:val="32"/>
          <w:szCs w:val="32"/>
          <w14:textFill>
            <w14:solidFill>
              <w14:schemeClr w14:val="tx1"/>
            </w14:solidFill>
          </w14:textFill>
        </w:rPr>
        <w:t>为主</w:t>
      </w:r>
      <w:r>
        <w:rPr>
          <w:rFonts w:ascii="Times New Roman" w:hAnsi="Times New Roman" w:eastAsia="仿宋"/>
          <w:color w:val="000000" w:themeColor="text1"/>
          <w:sz w:val="32"/>
          <w:szCs w:val="32"/>
          <w14:textFill>
            <w14:solidFill>
              <w14:schemeClr w14:val="tx1"/>
            </w14:solidFill>
          </w14:textFill>
        </w:rPr>
        <w:t>；钦南区</w:t>
      </w:r>
      <w:r>
        <w:rPr>
          <w:rFonts w:hint="eastAsia" w:ascii="Times New Roman" w:hAnsi="Times New Roman" w:eastAsia="仿宋"/>
          <w:color w:val="000000" w:themeColor="text1"/>
          <w:sz w:val="32"/>
          <w:szCs w:val="32"/>
          <w14:textFill>
            <w14:solidFill>
              <w14:schemeClr w14:val="tx1"/>
            </w14:solidFill>
          </w14:textFill>
        </w:rPr>
        <w:t>4</w:t>
      </w:r>
      <w:r>
        <w:rPr>
          <w:rFonts w:ascii="Times New Roman" w:hAnsi="Times New Roman" w:eastAsia="仿宋"/>
          <w:color w:val="000000" w:themeColor="text1"/>
          <w:sz w:val="32"/>
          <w:szCs w:val="32"/>
          <w14:textFill>
            <w14:solidFill>
              <w14:schemeClr w14:val="tx1"/>
            </w14:solidFill>
          </w14:textFill>
        </w:rPr>
        <w:t>家（规上1家）</w:t>
      </w:r>
      <w:r>
        <w:rPr>
          <w:rFonts w:hint="eastAsia" w:ascii="Times New Roman" w:hAnsi="Times New Roman" w:eastAsia="仿宋"/>
          <w:color w:val="000000" w:themeColor="text1"/>
          <w:sz w:val="32"/>
          <w:szCs w:val="32"/>
          <w14:textFill>
            <w14:solidFill>
              <w14:schemeClr w14:val="tx1"/>
            </w14:solidFill>
          </w14:textFill>
        </w:rPr>
        <w:t>，</w:t>
      </w:r>
      <w:r>
        <w:rPr>
          <w:rFonts w:ascii="Times New Roman" w:hAnsi="Times New Roman" w:eastAsia="仿宋"/>
          <w:color w:val="000000" w:themeColor="text1"/>
          <w:sz w:val="32"/>
          <w:szCs w:val="32"/>
          <w14:textFill>
            <w14:solidFill>
              <w14:schemeClr w14:val="tx1"/>
            </w14:solidFill>
          </w14:textFill>
        </w:rPr>
        <w:t>以混凝土砌块、水泥管、砖、瓦等产品为主，</w:t>
      </w:r>
      <w:r>
        <w:rPr>
          <w:rFonts w:hint="eastAsia" w:ascii="Times New Roman" w:hAnsi="Times New Roman" w:eastAsia="仿宋"/>
          <w:color w:val="000000" w:themeColor="text1"/>
          <w:sz w:val="32"/>
          <w:szCs w:val="32"/>
          <w14:textFill>
            <w14:solidFill>
              <w14:schemeClr w14:val="tx1"/>
            </w14:solidFill>
          </w14:textFill>
        </w:rPr>
        <w:t>产品以广西区</w:t>
      </w:r>
      <w:r>
        <w:rPr>
          <w:rFonts w:ascii="Times New Roman" w:hAnsi="Times New Roman" w:eastAsia="仿宋"/>
          <w:color w:val="000000" w:themeColor="text1"/>
          <w:sz w:val="32"/>
          <w:szCs w:val="32"/>
          <w14:textFill>
            <w14:solidFill>
              <w14:schemeClr w14:val="tx1"/>
            </w14:solidFill>
          </w14:textFill>
        </w:rPr>
        <w:t>内销售</w:t>
      </w:r>
      <w:r>
        <w:rPr>
          <w:rFonts w:hint="eastAsia" w:ascii="Times New Roman" w:hAnsi="Times New Roman" w:eastAsia="仿宋"/>
          <w:color w:val="000000" w:themeColor="text1"/>
          <w:sz w:val="32"/>
          <w:szCs w:val="32"/>
          <w14:textFill>
            <w14:solidFill>
              <w14:schemeClr w14:val="tx1"/>
            </w14:solidFill>
          </w14:textFill>
        </w:rPr>
        <w:t>为主</w:t>
      </w:r>
      <w:r>
        <w:rPr>
          <w:rFonts w:ascii="Times New Roman" w:hAnsi="Times New Roman" w:eastAsia="仿宋"/>
          <w:color w:val="000000" w:themeColor="text1"/>
          <w:sz w:val="32"/>
          <w:szCs w:val="32"/>
          <w14:textFill>
            <w14:solidFill>
              <w14:schemeClr w14:val="tx1"/>
            </w14:solidFill>
          </w14:textFill>
        </w:rPr>
        <w:t>；钦北区2家，以预制管桩、预制构件产品为主，产品主要销往广西各市及广东湛江</w:t>
      </w:r>
      <w:r>
        <w:rPr>
          <w:rFonts w:hint="eastAsia" w:ascii="Times New Roman" w:hAnsi="Times New Roman" w:eastAsia="仿宋"/>
          <w:color w:val="000000" w:themeColor="text1"/>
          <w:sz w:val="32"/>
          <w:szCs w:val="32"/>
          <w14:textFill>
            <w14:solidFill>
              <w14:schemeClr w14:val="tx1"/>
            </w14:solidFill>
          </w14:textFill>
        </w:rPr>
        <w:t>等地。</w:t>
      </w:r>
    </w:p>
    <w:p>
      <w:pPr>
        <w:adjustRightInd w:val="0"/>
        <w:snapToGrid w:val="0"/>
        <w:jc w:val="center"/>
        <w:rPr>
          <w:rFonts w:ascii="Times New Roman" w:hAnsi="Times New Roman" w:eastAsia="仿宋"/>
          <w:b/>
          <w:bCs/>
          <w:color w:val="000000" w:themeColor="text1"/>
          <w:sz w:val="24"/>
          <w:szCs w:val="24"/>
          <w14:textFill>
            <w14:solidFill>
              <w14:schemeClr w14:val="tx1"/>
            </w14:solidFill>
          </w14:textFill>
        </w:rPr>
      </w:pPr>
    </w:p>
    <w:p>
      <w:pPr>
        <w:adjustRightInd w:val="0"/>
        <w:snapToGrid w:val="0"/>
        <w:jc w:val="center"/>
        <w:rPr>
          <w:rFonts w:ascii="Times New Roman" w:hAnsi="Times New Roman" w:eastAsia="仿宋"/>
          <w:b/>
          <w:bCs/>
          <w:color w:val="000000" w:themeColor="text1"/>
          <w:sz w:val="24"/>
          <w:szCs w:val="24"/>
          <w14:textFill>
            <w14:solidFill>
              <w14:schemeClr w14:val="tx1"/>
            </w14:solidFill>
          </w14:textFill>
        </w:rPr>
      </w:pPr>
      <w:r>
        <w:rPr>
          <w:rFonts w:hint="eastAsia" w:ascii="Times New Roman" w:hAnsi="Times New Roman" w:eastAsia="仿宋"/>
          <w:b/>
          <w:bCs/>
          <w:color w:val="000000" w:themeColor="text1"/>
          <w:sz w:val="24"/>
          <w:szCs w:val="24"/>
          <w14:textFill>
            <w14:solidFill>
              <w14:schemeClr w14:val="tx1"/>
            </w14:solidFill>
          </w14:textFill>
        </w:rPr>
        <w:t xml:space="preserve">表1-5 </w:t>
      </w:r>
      <w:r>
        <w:rPr>
          <w:rFonts w:ascii="Times New Roman" w:hAnsi="Times New Roman" w:eastAsia="仿宋"/>
          <w:b/>
          <w:bCs/>
          <w:color w:val="000000" w:themeColor="text1"/>
          <w:sz w:val="24"/>
          <w:szCs w:val="24"/>
          <w14:textFill>
            <w14:solidFill>
              <w14:schemeClr w14:val="tx1"/>
            </w14:solidFill>
          </w14:textFill>
        </w:rPr>
        <w:t>钦州市</w:t>
      </w:r>
      <w:r>
        <w:rPr>
          <w:rFonts w:hint="eastAsia" w:ascii="Times New Roman" w:hAnsi="Times New Roman" w:eastAsia="仿宋"/>
          <w:b/>
          <w:bCs/>
          <w:color w:val="000000" w:themeColor="text1"/>
          <w:sz w:val="24"/>
          <w:szCs w:val="24"/>
          <w14:textFill>
            <w14:solidFill>
              <w14:schemeClr w14:val="tx1"/>
            </w14:solidFill>
          </w14:textFill>
        </w:rPr>
        <w:t>水泥制品</w:t>
      </w:r>
      <w:r>
        <w:rPr>
          <w:rFonts w:ascii="Times New Roman" w:hAnsi="Times New Roman" w:eastAsia="仿宋"/>
          <w:b/>
          <w:bCs/>
          <w:color w:val="000000" w:themeColor="text1"/>
          <w:sz w:val="24"/>
          <w:szCs w:val="24"/>
          <w14:textFill>
            <w14:solidFill>
              <w14:schemeClr w14:val="tx1"/>
            </w14:solidFill>
          </w14:textFill>
        </w:rPr>
        <w:t>生产企业汇总表（</w:t>
      </w:r>
      <w:r>
        <w:rPr>
          <w:rFonts w:hint="eastAsia" w:ascii="Times New Roman" w:hAnsi="Times New Roman" w:eastAsia="仿宋"/>
          <w:b/>
          <w:bCs/>
          <w:color w:val="000000" w:themeColor="text1"/>
          <w:sz w:val="24"/>
          <w:szCs w:val="24"/>
          <w14:textFill>
            <w14:solidFill>
              <w14:schemeClr w14:val="tx1"/>
            </w14:solidFill>
          </w14:textFill>
        </w:rPr>
        <w:t>截至</w:t>
      </w:r>
      <w:r>
        <w:rPr>
          <w:rFonts w:ascii="Times New Roman" w:hAnsi="Times New Roman" w:eastAsia="仿宋"/>
          <w:b/>
          <w:bCs/>
          <w:color w:val="000000" w:themeColor="text1"/>
          <w:sz w:val="24"/>
          <w:szCs w:val="24"/>
          <w14:textFill>
            <w14:solidFill>
              <w14:schemeClr w14:val="tx1"/>
            </w14:solidFill>
          </w14:textFill>
        </w:rPr>
        <w:t>2021年底）</w:t>
      </w:r>
    </w:p>
    <w:tbl>
      <w:tblPr>
        <w:tblStyle w:val="1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6"/>
        <w:gridCol w:w="718"/>
        <w:gridCol w:w="4078"/>
        <w:gridCol w:w="5278"/>
        <w:gridCol w:w="3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341" w:type="pct"/>
            <w:vAlign w:val="center"/>
          </w:tcPr>
          <w:p>
            <w:pPr>
              <w:adjustRightInd w:val="0"/>
              <w:snapToGrid w:val="0"/>
              <w:jc w:val="center"/>
              <w:rPr>
                <w:rFonts w:ascii="Times New Roman" w:hAnsi="Times New Roman" w:eastAsia="仿宋"/>
                <w:b/>
                <w:bCs/>
                <w:color w:val="000000" w:themeColor="text1"/>
                <w:sz w:val="24"/>
                <w:szCs w:val="24"/>
                <w14:textFill>
                  <w14:solidFill>
                    <w14:schemeClr w14:val="tx1"/>
                  </w14:solidFill>
                </w14:textFill>
              </w:rPr>
            </w:pPr>
            <w:r>
              <w:rPr>
                <w:rFonts w:ascii="Times New Roman" w:hAnsi="Times New Roman" w:eastAsia="仿宋"/>
                <w:b/>
                <w:bCs/>
                <w:color w:val="000000" w:themeColor="text1"/>
                <w:sz w:val="24"/>
                <w:szCs w:val="24"/>
                <w14:textFill>
                  <w14:solidFill>
                    <w14:schemeClr w14:val="tx1"/>
                  </w14:solidFill>
                </w14:textFill>
              </w:rPr>
              <w:t>地区</w:t>
            </w:r>
          </w:p>
        </w:tc>
        <w:tc>
          <w:tcPr>
            <w:tcW w:w="253" w:type="pct"/>
            <w:vAlign w:val="center"/>
          </w:tcPr>
          <w:p>
            <w:pPr>
              <w:adjustRightInd w:val="0"/>
              <w:snapToGrid w:val="0"/>
              <w:jc w:val="center"/>
              <w:rPr>
                <w:rFonts w:ascii="Times New Roman" w:hAnsi="Times New Roman" w:eastAsia="仿宋"/>
                <w:b/>
                <w:bCs/>
                <w:color w:val="000000" w:themeColor="text1"/>
                <w:sz w:val="24"/>
                <w:szCs w:val="24"/>
                <w14:textFill>
                  <w14:solidFill>
                    <w14:schemeClr w14:val="tx1"/>
                  </w14:solidFill>
                </w14:textFill>
              </w:rPr>
            </w:pPr>
            <w:r>
              <w:rPr>
                <w:rFonts w:ascii="Times New Roman" w:hAnsi="Times New Roman" w:eastAsia="仿宋"/>
                <w:b/>
                <w:bCs/>
                <w:color w:val="000000" w:themeColor="text1"/>
                <w:sz w:val="24"/>
                <w:szCs w:val="24"/>
                <w14:textFill>
                  <w14:solidFill>
                    <w14:schemeClr w14:val="tx1"/>
                  </w14:solidFill>
                </w14:textFill>
              </w:rPr>
              <w:t>序号</w:t>
            </w:r>
          </w:p>
        </w:tc>
        <w:tc>
          <w:tcPr>
            <w:tcW w:w="1438" w:type="pct"/>
            <w:vAlign w:val="center"/>
          </w:tcPr>
          <w:p>
            <w:pPr>
              <w:adjustRightInd w:val="0"/>
              <w:snapToGrid w:val="0"/>
              <w:jc w:val="center"/>
              <w:rPr>
                <w:rFonts w:ascii="Times New Roman" w:hAnsi="Times New Roman" w:eastAsia="仿宋"/>
                <w:b/>
                <w:bCs/>
                <w:color w:val="000000" w:themeColor="text1"/>
                <w:sz w:val="24"/>
                <w:szCs w:val="24"/>
                <w14:textFill>
                  <w14:solidFill>
                    <w14:schemeClr w14:val="tx1"/>
                  </w14:solidFill>
                </w14:textFill>
              </w:rPr>
            </w:pPr>
            <w:r>
              <w:rPr>
                <w:rFonts w:ascii="Times New Roman" w:hAnsi="Times New Roman" w:eastAsia="仿宋"/>
                <w:b/>
                <w:bCs/>
                <w:color w:val="000000" w:themeColor="text1"/>
                <w:sz w:val="24"/>
                <w:szCs w:val="24"/>
                <w14:textFill>
                  <w14:solidFill>
                    <w14:schemeClr w14:val="tx1"/>
                  </w14:solidFill>
                </w14:textFill>
              </w:rPr>
              <w:t>企业名称</w:t>
            </w:r>
          </w:p>
        </w:tc>
        <w:tc>
          <w:tcPr>
            <w:tcW w:w="1861" w:type="pct"/>
            <w:vAlign w:val="center"/>
          </w:tcPr>
          <w:p>
            <w:pPr>
              <w:adjustRightInd w:val="0"/>
              <w:snapToGrid w:val="0"/>
              <w:jc w:val="center"/>
              <w:rPr>
                <w:rFonts w:ascii="Times New Roman" w:hAnsi="Times New Roman" w:eastAsia="仿宋"/>
                <w:b/>
                <w:bCs/>
                <w:color w:val="000000" w:themeColor="text1"/>
                <w:sz w:val="24"/>
                <w:szCs w:val="24"/>
                <w14:textFill>
                  <w14:solidFill>
                    <w14:schemeClr w14:val="tx1"/>
                  </w14:solidFill>
                </w14:textFill>
              </w:rPr>
            </w:pPr>
            <w:r>
              <w:rPr>
                <w:rFonts w:ascii="Times New Roman" w:hAnsi="Times New Roman" w:eastAsia="仿宋"/>
                <w:b/>
                <w:bCs/>
                <w:color w:val="000000" w:themeColor="text1"/>
                <w:sz w:val="24"/>
                <w:szCs w:val="24"/>
                <w14:textFill>
                  <w14:solidFill>
                    <w14:schemeClr w14:val="tx1"/>
                  </w14:solidFill>
                </w14:textFill>
              </w:rPr>
              <w:t>地址</w:t>
            </w:r>
          </w:p>
        </w:tc>
        <w:tc>
          <w:tcPr>
            <w:tcW w:w="1105" w:type="pct"/>
            <w:vAlign w:val="center"/>
          </w:tcPr>
          <w:p>
            <w:pPr>
              <w:adjustRightInd w:val="0"/>
              <w:snapToGrid w:val="0"/>
              <w:jc w:val="center"/>
              <w:rPr>
                <w:rFonts w:ascii="Times New Roman" w:hAnsi="Times New Roman" w:eastAsia="仿宋"/>
                <w:b/>
                <w:bCs/>
                <w:color w:val="000000" w:themeColor="text1"/>
                <w:sz w:val="24"/>
                <w:szCs w:val="24"/>
                <w14:textFill>
                  <w14:solidFill>
                    <w14:schemeClr w14:val="tx1"/>
                  </w14:solidFill>
                </w14:textFill>
              </w:rPr>
            </w:pPr>
            <w:r>
              <w:rPr>
                <w:rFonts w:hint="eastAsia" w:ascii="Times New Roman" w:hAnsi="Times New Roman" w:eastAsia="仿宋"/>
                <w:b/>
                <w:bCs/>
                <w:color w:val="000000" w:themeColor="text1"/>
                <w:sz w:val="24"/>
                <w:szCs w:val="24"/>
                <w14:textFill>
                  <w14:solidFill>
                    <w14:schemeClr w14:val="tx1"/>
                  </w14:solidFill>
                </w14:textFill>
              </w:rPr>
              <w:t>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1" w:type="pct"/>
            <w:vMerge w:val="restar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灵山县</w:t>
            </w:r>
          </w:p>
        </w:tc>
        <w:tc>
          <w:tcPr>
            <w:tcW w:w="253"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1</w:t>
            </w:r>
          </w:p>
        </w:tc>
        <w:tc>
          <w:tcPr>
            <w:tcW w:w="1438"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灵山县新圩镇新圩水泥砖厂</w:t>
            </w:r>
          </w:p>
        </w:tc>
        <w:tc>
          <w:tcPr>
            <w:tcW w:w="1861"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灵山县新圩镇梯始村委第三生产队</w:t>
            </w:r>
          </w:p>
        </w:tc>
        <w:tc>
          <w:tcPr>
            <w:tcW w:w="1105"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普通混凝土小型空心砌块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1" w:type="pct"/>
            <w:vMerge w:val="continue"/>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p>
        </w:tc>
        <w:tc>
          <w:tcPr>
            <w:tcW w:w="253"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2</w:t>
            </w:r>
          </w:p>
        </w:tc>
        <w:tc>
          <w:tcPr>
            <w:tcW w:w="1438"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灵山县烟墩镇华兴水泥砖厂</w:t>
            </w:r>
          </w:p>
        </w:tc>
        <w:tc>
          <w:tcPr>
            <w:tcW w:w="1861"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灵山县烟墩镇三联村委</w:t>
            </w:r>
          </w:p>
        </w:tc>
        <w:tc>
          <w:tcPr>
            <w:tcW w:w="1105"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普通混凝土小型空心砌块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1" w:type="pct"/>
            <w:vMerge w:val="continue"/>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p>
        </w:tc>
        <w:tc>
          <w:tcPr>
            <w:tcW w:w="253"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3</w:t>
            </w:r>
          </w:p>
        </w:tc>
        <w:tc>
          <w:tcPr>
            <w:tcW w:w="1438"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灵山县玉成水泥砖厂</w:t>
            </w:r>
          </w:p>
        </w:tc>
        <w:tc>
          <w:tcPr>
            <w:tcW w:w="1861"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灵山县新圩镇白泥岭村委会十一队</w:t>
            </w:r>
          </w:p>
        </w:tc>
        <w:tc>
          <w:tcPr>
            <w:tcW w:w="1105"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普通混凝土小型空心砌块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1" w:type="pct"/>
            <w:vMerge w:val="continue"/>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p>
        </w:tc>
        <w:tc>
          <w:tcPr>
            <w:tcW w:w="253"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4</w:t>
            </w:r>
          </w:p>
        </w:tc>
        <w:tc>
          <w:tcPr>
            <w:tcW w:w="1438"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灵山县沛安水泥制品有限责任公司</w:t>
            </w:r>
          </w:p>
        </w:tc>
        <w:tc>
          <w:tcPr>
            <w:tcW w:w="1861"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灵山县灵城街道白水村委</w:t>
            </w:r>
          </w:p>
        </w:tc>
        <w:tc>
          <w:tcPr>
            <w:tcW w:w="1105"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普通混凝土小型空心砌块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trPr>
        <w:tc>
          <w:tcPr>
            <w:tcW w:w="341"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浦北县</w:t>
            </w:r>
          </w:p>
        </w:tc>
        <w:tc>
          <w:tcPr>
            <w:tcW w:w="253"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5</w:t>
            </w:r>
          </w:p>
        </w:tc>
        <w:tc>
          <w:tcPr>
            <w:tcW w:w="1438"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浦北县北通线杆厂</w:t>
            </w:r>
          </w:p>
        </w:tc>
        <w:tc>
          <w:tcPr>
            <w:tcW w:w="1861"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浦北县北通镇清湖村</w:t>
            </w:r>
          </w:p>
        </w:tc>
        <w:tc>
          <w:tcPr>
            <w:tcW w:w="1105"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线杆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1" w:type="pct"/>
            <w:vMerge w:val="restar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钦南区</w:t>
            </w:r>
          </w:p>
        </w:tc>
        <w:tc>
          <w:tcPr>
            <w:tcW w:w="253"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6</w:t>
            </w:r>
          </w:p>
        </w:tc>
        <w:tc>
          <w:tcPr>
            <w:tcW w:w="1438"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钦州市和盛建筑材料有限公司</w:t>
            </w:r>
          </w:p>
        </w:tc>
        <w:tc>
          <w:tcPr>
            <w:tcW w:w="1861"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钦州市黄屋屯镇屯光村委</w:t>
            </w:r>
          </w:p>
        </w:tc>
        <w:tc>
          <w:tcPr>
            <w:tcW w:w="1105"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蒸压加气混凝土砌块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1" w:type="pct"/>
            <w:vMerge w:val="continue"/>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p>
        </w:tc>
        <w:tc>
          <w:tcPr>
            <w:tcW w:w="253"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7</w:t>
            </w:r>
          </w:p>
        </w:tc>
        <w:tc>
          <w:tcPr>
            <w:tcW w:w="1438"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钦州市宏昌水泥制品有限公司</w:t>
            </w:r>
          </w:p>
        </w:tc>
        <w:tc>
          <w:tcPr>
            <w:tcW w:w="1861"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钦南区那丽镇那丽至丽光场公路西侧</w:t>
            </w:r>
          </w:p>
        </w:tc>
        <w:tc>
          <w:tcPr>
            <w:tcW w:w="1105"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水泥瓦、砖、管构件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1" w:type="pct"/>
            <w:vMerge w:val="continue"/>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p>
        </w:tc>
        <w:tc>
          <w:tcPr>
            <w:tcW w:w="253"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8</w:t>
            </w:r>
          </w:p>
        </w:tc>
        <w:tc>
          <w:tcPr>
            <w:tcW w:w="1438"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钦州东南建材水泥制品厂</w:t>
            </w:r>
          </w:p>
        </w:tc>
        <w:tc>
          <w:tcPr>
            <w:tcW w:w="1861"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钦南区沙埠镇桥平村委大田村英毛岭（进港公路东侧）</w:t>
            </w:r>
          </w:p>
        </w:tc>
        <w:tc>
          <w:tcPr>
            <w:tcW w:w="1105"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水泥制品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1" w:type="pct"/>
            <w:vMerge w:val="continue"/>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p>
        </w:tc>
        <w:tc>
          <w:tcPr>
            <w:tcW w:w="253"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9</w:t>
            </w:r>
          </w:p>
        </w:tc>
        <w:tc>
          <w:tcPr>
            <w:tcW w:w="1438"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广西港基管桩有限公司</w:t>
            </w:r>
          </w:p>
        </w:tc>
        <w:tc>
          <w:tcPr>
            <w:tcW w:w="1861"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钦州市钦南区黎合江工业园一区</w:t>
            </w:r>
          </w:p>
        </w:tc>
        <w:tc>
          <w:tcPr>
            <w:tcW w:w="1105"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管桩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1" w:type="pct"/>
            <w:vMerge w:val="restar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钦北区</w:t>
            </w:r>
          </w:p>
        </w:tc>
        <w:tc>
          <w:tcPr>
            <w:tcW w:w="253"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10</w:t>
            </w:r>
          </w:p>
        </w:tc>
        <w:tc>
          <w:tcPr>
            <w:tcW w:w="1438"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广西新榕兴建材科技有限公司</w:t>
            </w:r>
          </w:p>
        </w:tc>
        <w:tc>
          <w:tcPr>
            <w:tcW w:w="1861"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钦州市钦北区那蒙镇硃砂村</w:t>
            </w:r>
          </w:p>
        </w:tc>
        <w:tc>
          <w:tcPr>
            <w:tcW w:w="1105"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蒸压加气混凝土砌块、蒸压加气混凝土板材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1" w:type="pct"/>
            <w:vMerge w:val="continue"/>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p>
        </w:tc>
        <w:tc>
          <w:tcPr>
            <w:tcW w:w="253"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11</w:t>
            </w:r>
          </w:p>
        </w:tc>
        <w:tc>
          <w:tcPr>
            <w:tcW w:w="1438"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建华建材（广西）有限公司</w:t>
            </w:r>
          </w:p>
        </w:tc>
        <w:tc>
          <w:tcPr>
            <w:tcW w:w="1861"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广西钦州市钦北区那蒙镇屯周路口</w:t>
            </w:r>
          </w:p>
        </w:tc>
        <w:tc>
          <w:tcPr>
            <w:tcW w:w="1105"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预制管桩/预制构件</w:t>
            </w:r>
          </w:p>
        </w:tc>
      </w:tr>
    </w:tbl>
    <w:p>
      <w:pPr>
        <w:spacing w:line="360" w:lineRule="auto"/>
        <w:ind w:firstLine="482" w:firstLineChars="200"/>
        <w:rPr>
          <w:rFonts w:ascii="Times New Roman" w:hAnsi="Times New Roman" w:eastAsia="仿宋"/>
          <w:b/>
          <w:bCs/>
          <w:color w:val="000000" w:themeColor="text1"/>
          <w:sz w:val="24"/>
          <w:szCs w:val="24"/>
          <w14:textFill>
            <w14:solidFill>
              <w14:schemeClr w14:val="tx1"/>
            </w14:solidFill>
          </w14:textFill>
        </w:rPr>
      </w:pPr>
      <w:bookmarkStart w:id="24" w:name="_Toc6629"/>
      <w:bookmarkStart w:id="25" w:name="_Toc20096"/>
    </w:p>
    <w:p>
      <w:pPr>
        <w:spacing w:line="360" w:lineRule="auto"/>
        <w:ind w:firstLine="482" w:firstLineChars="200"/>
        <w:rPr>
          <w:rFonts w:ascii="Times New Roman" w:hAnsi="Times New Roman" w:eastAsia="仿宋"/>
          <w:b/>
          <w:bCs/>
          <w:color w:val="000000" w:themeColor="text1"/>
          <w:sz w:val="24"/>
          <w:szCs w:val="24"/>
          <w14:textFill>
            <w14:solidFill>
              <w14:schemeClr w14:val="tx1"/>
            </w14:solidFill>
          </w14:textFill>
        </w:rPr>
        <w:sectPr>
          <w:pgSz w:w="16838" w:h="11906" w:orient="landscape"/>
          <w:pgMar w:top="1803" w:right="1440" w:bottom="1803" w:left="1440" w:header="851" w:footer="992" w:gutter="0"/>
          <w:cols w:space="0" w:num="1"/>
          <w:docGrid w:type="lines" w:linePitch="312" w:charSpace="0"/>
        </w:sectPr>
      </w:pPr>
    </w:p>
    <w:p>
      <w:pPr>
        <w:spacing w:line="360" w:lineRule="auto"/>
        <w:ind w:firstLine="482" w:firstLineChars="200"/>
        <w:rPr>
          <w:rFonts w:ascii="Times New Roman" w:hAnsi="Times New Roman" w:eastAsia="仿宋"/>
          <w:b/>
          <w:bCs/>
          <w:color w:val="000000" w:themeColor="text1"/>
          <w:sz w:val="24"/>
          <w:szCs w:val="24"/>
          <w14:textFill>
            <w14:solidFill>
              <w14:schemeClr w14:val="tx1"/>
            </w14:solidFill>
          </w14:textFill>
        </w:rPr>
      </w:pPr>
    </w:p>
    <w:p>
      <w:pPr>
        <w:adjustRightInd w:val="0"/>
        <w:snapToGrid w:val="0"/>
        <w:jc w:val="center"/>
        <w:rPr>
          <w:rFonts w:ascii="Times New Roman" w:hAnsi="Times New Roman" w:eastAsia="仿宋"/>
          <w:b/>
          <w:bCs/>
          <w:color w:val="000000" w:themeColor="text1"/>
          <w:sz w:val="24"/>
          <w:szCs w:val="24"/>
          <w14:textFill>
            <w14:solidFill>
              <w14:schemeClr w14:val="tx1"/>
            </w14:solidFill>
          </w14:textFill>
        </w:rPr>
      </w:pPr>
      <w:r>
        <w:rPr>
          <w:rFonts w:hint="eastAsia" w:ascii="Times New Roman" w:hAnsi="Times New Roman" w:eastAsia="仿宋"/>
          <w:b/>
          <w:bCs/>
          <w:color w:val="000000" w:themeColor="text1"/>
          <w:sz w:val="24"/>
          <w:szCs w:val="24"/>
          <w14:textFill>
            <w14:solidFill>
              <w14:schemeClr w14:val="tx1"/>
            </w14:solidFill>
          </w14:textFill>
        </w:rPr>
        <w:t>图1-1 钦州市预拌混凝土、预拌砂浆、水泥制品企业分布图（截至2021年底）</w:t>
      </w:r>
    </w:p>
    <w:p>
      <w:pPr>
        <w:spacing w:line="360" w:lineRule="auto"/>
        <w:ind w:firstLine="482" w:firstLineChars="200"/>
        <w:rPr>
          <w:rFonts w:hint="eastAsia" w:ascii="Times New Roman" w:hAnsi="Times New Roman" w:eastAsia="仿宋"/>
          <w:b/>
          <w:bCs/>
          <w:color w:val="000000" w:themeColor="text1"/>
          <w:sz w:val="24"/>
          <w:szCs w:val="24"/>
          <w:lang w:eastAsia="zh-CN"/>
          <w14:textFill>
            <w14:solidFill>
              <w14:schemeClr w14:val="tx1"/>
            </w14:solidFill>
          </w14:textFill>
        </w:rPr>
      </w:pPr>
      <w:r>
        <w:rPr>
          <w:rFonts w:hint="eastAsia" w:ascii="Times New Roman" w:hAnsi="Times New Roman" w:eastAsia="仿宋"/>
          <w:b/>
          <w:bCs/>
          <w:color w:val="000000" w:themeColor="text1"/>
          <w:sz w:val="24"/>
          <w:szCs w:val="24"/>
          <w:lang w:eastAsia="zh-CN"/>
          <w14:textFill>
            <w14:solidFill>
              <w14:schemeClr w14:val="tx1"/>
            </w14:solidFill>
          </w14:textFill>
        </w:rPr>
        <w:drawing>
          <wp:inline distT="0" distB="0" distL="114300" distR="114300">
            <wp:extent cx="7548245" cy="5269865"/>
            <wp:effectExtent l="0" t="0" r="14605" b="6985"/>
            <wp:docPr id="2" name="图片 2" descr="钦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钦州"/>
                    <pic:cNvPicPr>
                      <a:picLocks noChangeAspect="1"/>
                    </pic:cNvPicPr>
                  </pic:nvPicPr>
                  <pic:blipFill>
                    <a:blip r:embed="rId7"/>
                    <a:stretch>
                      <a:fillRect/>
                    </a:stretch>
                  </pic:blipFill>
                  <pic:spPr>
                    <a:xfrm>
                      <a:off x="0" y="0"/>
                      <a:ext cx="7548245" cy="5269865"/>
                    </a:xfrm>
                    <a:prstGeom prst="rect">
                      <a:avLst/>
                    </a:prstGeom>
                  </pic:spPr>
                </pic:pic>
              </a:graphicData>
            </a:graphic>
          </wp:inline>
        </w:drawing>
      </w:r>
    </w:p>
    <w:p>
      <w:pPr>
        <w:spacing w:line="360" w:lineRule="auto"/>
        <w:ind w:firstLine="643" w:firstLineChars="200"/>
        <w:rPr>
          <w:rFonts w:ascii="Times New Roman" w:hAnsi="Times New Roman" w:eastAsia="黑体"/>
          <w:b/>
          <w:color w:val="000000" w:themeColor="text1"/>
          <w:sz w:val="32"/>
          <w:szCs w:val="28"/>
          <w14:textFill>
            <w14:solidFill>
              <w14:schemeClr w14:val="tx1"/>
            </w14:solidFill>
          </w14:textFill>
        </w:rPr>
        <w:sectPr>
          <w:pgSz w:w="16838" w:h="11906" w:orient="landscape"/>
          <w:pgMar w:top="850" w:right="1440" w:bottom="1134" w:left="1440" w:header="851" w:footer="992" w:gutter="0"/>
          <w:cols w:space="0" w:num="1"/>
          <w:docGrid w:type="lines" w:linePitch="312" w:charSpace="0"/>
        </w:sectPr>
      </w:pPr>
    </w:p>
    <w:p>
      <w:pPr>
        <w:spacing w:line="360" w:lineRule="auto"/>
        <w:ind w:firstLine="640" w:firstLineChars="200"/>
        <w:outlineLvl w:val="1"/>
        <w:rPr>
          <w:rFonts w:ascii="Times New Roman" w:hAnsi="Times New Roman" w:eastAsia="黑体"/>
          <w:bCs/>
          <w:color w:val="000000" w:themeColor="text1"/>
          <w:sz w:val="32"/>
          <w:szCs w:val="28"/>
          <w14:textFill>
            <w14:solidFill>
              <w14:schemeClr w14:val="tx1"/>
            </w14:solidFill>
          </w14:textFill>
        </w:rPr>
      </w:pPr>
      <w:bookmarkStart w:id="26" w:name="_Toc22342"/>
      <w:bookmarkStart w:id="27" w:name="_Toc9278"/>
      <w:r>
        <w:rPr>
          <w:rFonts w:ascii="Times New Roman" w:hAnsi="Times New Roman" w:eastAsia="黑体"/>
          <w:bCs/>
          <w:color w:val="000000" w:themeColor="text1"/>
          <w:sz w:val="32"/>
          <w:szCs w:val="28"/>
          <w14:textFill>
            <w14:solidFill>
              <w14:schemeClr w14:val="tx1"/>
            </w14:solidFill>
          </w14:textFill>
        </w:rPr>
        <w:t>二、发展成效</w:t>
      </w:r>
      <w:bookmarkEnd w:id="24"/>
      <w:bookmarkEnd w:id="25"/>
      <w:bookmarkEnd w:id="26"/>
      <w:bookmarkEnd w:id="27"/>
    </w:p>
    <w:p>
      <w:pPr>
        <w:spacing w:line="360" w:lineRule="auto"/>
        <w:ind w:firstLine="643" w:firstLineChars="200"/>
        <w:outlineLvl w:val="2"/>
        <w:rPr>
          <w:rFonts w:ascii="Times New Roman" w:hAnsi="Times New Roman" w:eastAsia="楷体"/>
          <w:b/>
          <w:color w:val="000000" w:themeColor="text1"/>
          <w:sz w:val="32"/>
          <w:szCs w:val="32"/>
          <w14:textFill>
            <w14:solidFill>
              <w14:schemeClr w14:val="tx1"/>
            </w14:solidFill>
          </w14:textFill>
        </w:rPr>
      </w:pPr>
      <w:r>
        <w:rPr>
          <w:rFonts w:ascii="Times New Roman" w:hAnsi="Times New Roman" w:eastAsia="楷体"/>
          <w:b/>
          <w:color w:val="000000" w:themeColor="text1"/>
          <w:sz w:val="32"/>
          <w:szCs w:val="32"/>
          <w14:textFill>
            <w14:solidFill>
              <w14:schemeClr w14:val="tx1"/>
            </w14:solidFill>
          </w14:textFill>
        </w:rPr>
        <w:t>（一）预拌混凝土发展迅速</w:t>
      </w:r>
    </w:p>
    <w:p>
      <w:pPr>
        <w:spacing w:line="360" w:lineRule="auto"/>
        <w:ind w:firstLine="640" w:firstLineChars="200"/>
        <w:rPr>
          <w:rFonts w:ascii="Times New Roman" w:hAnsi="Times New Roman" w:eastAsia="仿宋"/>
          <w:color w:val="000000" w:themeColor="text1"/>
          <w:sz w:val="32"/>
          <w:szCs w:val="32"/>
          <w14:textFill>
            <w14:solidFill>
              <w14:schemeClr w14:val="tx1"/>
            </w14:solidFill>
          </w14:textFill>
        </w:rPr>
      </w:pPr>
      <w:r>
        <w:rPr>
          <w:rFonts w:hint="eastAsia" w:ascii="Times New Roman" w:hAnsi="Times New Roman" w:eastAsia="仿宋"/>
          <w:color w:val="000000" w:themeColor="text1"/>
          <w:sz w:val="32"/>
          <w:szCs w:val="32"/>
          <w14:textFill>
            <w14:solidFill>
              <w14:schemeClr w14:val="tx1"/>
            </w14:solidFill>
          </w14:textFill>
        </w:rPr>
        <w:t>2020年钦州市预拌混凝土供应量为646万立方米，较“十二五”末全市预拌混凝土年供应量增长率达78%，较好地完成了行业发展目标。</w:t>
      </w:r>
    </w:p>
    <w:p>
      <w:pPr>
        <w:spacing w:line="360" w:lineRule="auto"/>
        <w:ind w:firstLine="643" w:firstLineChars="200"/>
        <w:outlineLvl w:val="2"/>
        <w:rPr>
          <w:rFonts w:ascii="Times New Roman" w:hAnsi="Times New Roman" w:eastAsia="楷体"/>
          <w:b/>
          <w:color w:val="000000" w:themeColor="text1"/>
          <w:sz w:val="32"/>
          <w:szCs w:val="32"/>
          <w14:textFill>
            <w14:solidFill>
              <w14:schemeClr w14:val="tx1"/>
            </w14:solidFill>
          </w14:textFill>
        </w:rPr>
      </w:pPr>
      <w:bookmarkStart w:id="28" w:name="_Toc6071"/>
      <w:r>
        <w:rPr>
          <w:rFonts w:ascii="Times New Roman" w:hAnsi="Times New Roman" w:eastAsia="楷体"/>
          <w:b/>
          <w:color w:val="000000" w:themeColor="text1"/>
          <w:sz w:val="32"/>
          <w:szCs w:val="32"/>
          <w14:textFill>
            <w14:solidFill>
              <w14:schemeClr w14:val="tx1"/>
            </w14:solidFill>
          </w14:textFill>
        </w:rPr>
        <w:t>（二）节能减排效果明显</w:t>
      </w:r>
      <w:bookmarkEnd w:id="28"/>
    </w:p>
    <w:p>
      <w:pPr>
        <w:spacing w:line="360" w:lineRule="auto"/>
        <w:ind w:firstLine="640" w:firstLineChars="200"/>
        <w:rPr>
          <w:rFonts w:ascii="Times New Roman" w:hAnsi="Times New Roman" w:eastAsia="仿宋"/>
          <w:color w:val="000000" w:themeColor="text1"/>
          <w:sz w:val="32"/>
          <w:szCs w:val="32"/>
          <w14:textFill>
            <w14:solidFill>
              <w14:schemeClr w14:val="tx1"/>
            </w14:solidFill>
          </w14:textFill>
        </w:rPr>
      </w:pPr>
      <w:r>
        <w:rPr>
          <w:rFonts w:ascii="Times New Roman" w:hAnsi="Times New Roman" w:eastAsia="仿宋"/>
          <w:color w:val="000000" w:themeColor="text1"/>
          <w:sz w:val="32"/>
          <w:szCs w:val="32"/>
          <w14:textFill>
            <w14:solidFill>
              <w14:schemeClr w14:val="tx1"/>
            </w14:solidFill>
          </w14:textFill>
        </w:rPr>
        <w:t>随着散装水泥和预拌混凝土的快速推广应用，在节约资源、保护环境方面成效显著。</w:t>
      </w:r>
      <w:r>
        <w:rPr>
          <w:rFonts w:hint="eastAsia" w:ascii="Times New Roman" w:hAnsi="Times New Roman" w:eastAsia="仿宋"/>
          <w:color w:val="000000" w:themeColor="text1"/>
          <w:sz w:val="32"/>
          <w:szCs w:val="32"/>
          <w14:textFill>
            <w14:solidFill>
              <w14:schemeClr w14:val="tx1"/>
            </w14:solidFill>
          </w14:textFill>
        </w:rPr>
        <w:t>“</w:t>
      </w:r>
      <w:r>
        <w:rPr>
          <w:rFonts w:ascii="Times New Roman" w:hAnsi="Times New Roman" w:eastAsia="仿宋"/>
          <w:color w:val="000000" w:themeColor="text1"/>
          <w:sz w:val="32"/>
          <w:szCs w:val="32"/>
          <w14:textFill>
            <w14:solidFill>
              <w14:schemeClr w14:val="tx1"/>
            </w14:solidFill>
          </w14:textFill>
        </w:rPr>
        <w:t>十三五</w:t>
      </w:r>
      <w:r>
        <w:rPr>
          <w:rFonts w:hint="eastAsia" w:ascii="Times New Roman" w:hAnsi="Times New Roman" w:eastAsia="仿宋"/>
          <w:color w:val="000000" w:themeColor="text1"/>
          <w:sz w:val="32"/>
          <w:szCs w:val="32"/>
          <w14:textFill>
            <w14:solidFill>
              <w14:schemeClr w14:val="tx1"/>
            </w14:solidFill>
          </w14:textFill>
        </w:rPr>
        <w:t>”</w:t>
      </w:r>
      <w:r>
        <w:rPr>
          <w:rFonts w:ascii="Times New Roman" w:hAnsi="Times New Roman" w:eastAsia="仿宋"/>
          <w:color w:val="000000" w:themeColor="text1"/>
          <w:sz w:val="32"/>
          <w:szCs w:val="32"/>
          <w14:textFill>
            <w14:solidFill>
              <w14:schemeClr w14:val="tx1"/>
            </w14:solidFill>
          </w14:textFill>
        </w:rPr>
        <w:t>期间，全市累计供应散装水泥864万吨，</w:t>
      </w:r>
      <w:r>
        <w:rPr>
          <w:rFonts w:hint="eastAsia" w:ascii="Times New Roman" w:hAnsi="Times New Roman" w:eastAsia="仿宋"/>
          <w:color w:val="000000" w:themeColor="text1"/>
          <w:sz w:val="32"/>
          <w:szCs w:val="32"/>
          <w14:textFill>
            <w14:solidFill>
              <w14:schemeClr w14:val="tx1"/>
            </w14:solidFill>
          </w14:textFill>
        </w:rPr>
        <w:t>预拌混凝土2491.95万立方米。</w:t>
      </w:r>
      <w:r>
        <w:rPr>
          <w:rFonts w:ascii="Times New Roman" w:hAnsi="Times New Roman" w:eastAsia="仿宋"/>
          <w:color w:val="000000" w:themeColor="text1"/>
          <w:sz w:val="32"/>
          <w:szCs w:val="32"/>
          <w14:textFill>
            <w14:solidFill>
              <w14:schemeClr w14:val="tx1"/>
            </w14:solidFill>
          </w14:textFill>
        </w:rPr>
        <w:t>节约包装用纸约1.4万吨，节约标煤约8万吨，减少水泥粉尘排放量约3.4万吨，减少二氧化碳排放量约30万吨，减少二氧化硫排放量约0.2万吨。</w:t>
      </w:r>
    </w:p>
    <w:p>
      <w:pPr>
        <w:spacing w:line="360" w:lineRule="auto"/>
        <w:ind w:firstLine="643" w:firstLineChars="200"/>
        <w:outlineLvl w:val="2"/>
        <w:rPr>
          <w:rFonts w:ascii="Times New Roman" w:hAnsi="Times New Roman" w:eastAsia="楷体"/>
          <w:b/>
          <w:color w:val="000000" w:themeColor="text1"/>
          <w:sz w:val="32"/>
          <w:szCs w:val="32"/>
          <w14:textFill>
            <w14:solidFill>
              <w14:schemeClr w14:val="tx1"/>
            </w14:solidFill>
          </w14:textFill>
        </w:rPr>
      </w:pPr>
      <w:r>
        <w:rPr>
          <w:rFonts w:ascii="Times New Roman" w:hAnsi="Times New Roman" w:eastAsia="楷体"/>
          <w:b/>
          <w:color w:val="000000" w:themeColor="text1"/>
          <w:sz w:val="32"/>
          <w:szCs w:val="32"/>
          <w14:textFill>
            <w14:solidFill>
              <w14:schemeClr w14:val="tx1"/>
            </w14:solidFill>
          </w14:textFill>
        </w:rPr>
        <w:t>（三）预拌混凝土企业整治成效显著</w:t>
      </w:r>
    </w:p>
    <w:p>
      <w:pPr>
        <w:spacing w:line="360" w:lineRule="auto"/>
        <w:ind w:firstLine="640" w:firstLineChars="200"/>
        <w:rPr>
          <w:rFonts w:ascii="Times New Roman" w:hAnsi="Times New Roman" w:eastAsia="仿宋"/>
          <w:color w:val="000000" w:themeColor="text1"/>
          <w:sz w:val="32"/>
          <w:szCs w:val="32"/>
          <w14:textFill>
            <w14:solidFill>
              <w14:schemeClr w14:val="tx1"/>
            </w14:solidFill>
          </w14:textFill>
        </w:rPr>
      </w:pPr>
      <w:r>
        <w:rPr>
          <w:rFonts w:hint="eastAsia" w:ascii="Times New Roman" w:hAnsi="Times New Roman" w:eastAsia="仿宋"/>
          <w:color w:val="000000" w:themeColor="text1"/>
          <w:sz w:val="32"/>
          <w:szCs w:val="32"/>
          <w14:textFill>
            <w14:solidFill>
              <w14:schemeClr w14:val="tx1"/>
            </w14:solidFill>
          </w14:textFill>
        </w:rPr>
        <w:t>“</w:t>
      </w:r>
      <w:r>
        <w:rPr>
          <w:rFonts w:ascii="Times New Roman" w:hAnsi="Times New Roman" w:eastAsia="仿宋"/>
          <w:color w:val="000000" w:themeColor="text1"/>
          <w:sz w:val="32"/>
          <w:szCs w:val="32"/>
          <w14:textFill>
            <w14:solidFill>
              <w14:schemeClr w14:val="tx1"/>
            </w14:solidFill>
          </w14:textFill>
        </w:rPr>
        <w:t>十三五</w:t>
      </w:r>
      <w:r>
        <w:rPr>
          <w:rFonts w:hint="eastAsia" w:ascii="Times New Roman" w:hAnsi="Times New Roman" w:eastAsia="仿宋"/>
          <w:color w:val="000000" w:themeColor="text1"/>
          <w:sz w:val="32"/>
          <w:szCs w:val="32"/>
          <w14:textFill>
            <w14:solidFill>
              <w14:schemeClr w14:val="tx1"/>
            </w14:solidFill>
          </w14:textFill>
        </w:rPr>
        <w:t>”</w:t>
      </w:r>
      <w:r>
        <w:rPr>
          <w:rFonts w:ascii="Times New Roman" w:hAnsi="Times New Roman" w:eastAsia="仿宋"/>
          <w:color w:val="000000" w:themeColor="text1"/>
          <w:sz w:val="32"/>
          <w:szCs w:val="32"/>
          <w14:textFill>
            <w14:solidFill>
              <w14:schemeClr w14:val="tx1"/>
            </w14:solidFill>
          </w14:textFill>
        </w:rPr>
        <w:t>期间，全市严格按照《钦州市混凝土搅拌企业扬尘污染治理规范》要求，重点整治城区内22家企业，分别为</w:t>
      </w:r>
      <w:r>
        <w:rPr>
          <w:rFonts w:hint="eastAsia" w:ascii="Times New Roman" w:hAnsi="Times New Roman" w:eastAsia="仿宋"/>
          <w:color w:val="000000" w:themeColor="text1"/>
          <w:sz w:val="32"/>
          <w:szCs w:val="32"/>
          <w14:textFill>
            <w14:solidFill>
              <w14:schemeClr w14:val="tx1"/>
            </w14:solidFill>
          </w14:textFill>
        </w:rPr>
        <w:t>：</w:t>
      </w:r>
      <w:r>
        <w:rPr>
          <w:rFonts w:ascii="Times New Roman" w:hAnsi="Times New Roman" w:eastAsia="仿宋"/>
          <w:color w:val="000000" w:themeColor="text1"/>
          <w:sz w:val="32"/>
          <w:szCs w:val="32"/>
          <w14:textFill>
            <w14:solidFill>
              <w14:schemeClr w14:val="tx1"/>
            </w14:solidFill>
          </w14:textFill>
        </w:rPr>
        <w:t>钦南区10家、钦北区6家、钦州港6家，针对砂石料堆场、</w:t>
      </w:r>
      <w:r>
        <w:rPr>
          <w:rFonts w:hint="eastAsia" w:ascii="Times New Roman" w:hAnsi="Times New Roman" w:eastAsia="仿宋"/>
          <w:color w:val="000000" w:themeColor="text1"/>
          <w:sz w:val="32"/>
          <w:szCs w:val="32"/>
          <w14:textFill>
            <w14:solidFill>
              <w14:schemeClr w14:val="tx1"/>
            </w14:solidFill>
          </w14:textFill>
        </w:rPr>
        <w:t>砂石</w:t>
      </w:r>
      <w:r>
        <w:rPr>
          <w:rFonts w:ascii="Times New Roman" w:hAnsi="Times New Roman" w:eastAsia="仿宋"/>
          <w:color w:val="000000" w:themeColor="text1"/>
          <w:sz w:val="32"/>
          <w:szCs w:val="32"/>
          <w14:textFill>
            <w14:solidFill>
              <w14:schemeClr w14:val="tx1"/>
            </w14:solidFill>
          </w14:textFill>
        </w:rPr>
        <w:t>料输送、成品外送车辆、生产场地扬尘治理设施、场地硬化、车辆进出口自动冲洗等设施进行改造。</w:t>
      </w:r>
      <w:r>
        <w:rPr>
          <w:rFonts w:hint="eastAsia" w:ascii="Times New Roman" w:hAnsi="Times New Roman" w:eastAsia="仿宋"/>
          <w:color w:val="000000" w:themeColor="text1"/>
          <w:sz w:val="32"/>
          <w:szCs w:val="32"/>
          <w14:textFill>
            <w14:solidFill>
              <w14:schemeClr w14:val="tx1"/>
            </w14:solidFill>
          </w14:textFill>
        </w:rPr>
        <w:t>截至</w:t>
      </w:r>
      <w:r>
        <w:rPr>
          <w:rFonts w:ascii="Times New Roman" w:hAnsi="Times New Roman" w:eastAsia="仿宋"/>
          <w:color w:val="000000" w:themeColor="text1"/>
          <w:sz w:val="32"/>
          <w:szCs w:val="32"/>
          <w14:textFill>
            <w14:solidFill>
              <w14:schemeClr w14:val="tx1"/>
            </w14:solidFill>
          </w14:textFill>
        </w:rPr>
        <w:t>202</w:t>
      </w:r>
      <w:r>
        <w:rPr>
          <w:rFonts w:hint="eastAsia" w:ascii="Times New Roman" w:hAnsi="Times New Roman" w:eastAsia="仿宋"/>
          <w:color w:val="000000" w:themeColor="text1"/>
          <w:sz w:val="32"/>
          <w:szCs w:val="32"/>
          <w14:textFill>
            <w14:solidFill>
              <w14:schemeClr w14:val="tx1"/>
            </w14:solidFill>
          </w14:textFill>
        </w:rPr>
        <w:t>1</w:t>
      </w:r>
      <w:r>
        <w:rPr>
          <w:rFonts w:ascii="Times New Roman" w:hAnsi="Times New Roman" w:eastAsia="仿宋"/>
          <w:color w:val="000000" w:themeColor="text1"/>
          <w:sz w:val="32"/>
          <w:szCs w:val="32"/>
          <w14:textFill>
            <w14:solidFill>
              <w14:schemeClr w14:val="tx1"/>
            </w14:solidFill>
          </w14:textFill>
        </w:rPr>
        <w:t>年，整治企业均已完成改造工作。</w:t>
      </w:r>
    </w:p>
    <w:p>
      <w:pPr>
        <w:spacing w:line="360" w:lineRule="auto"/>
        <w:ind w:firstLine="643" w:firstLineChars="200"/>
        <w:outlineLvl w:val="2"/>
        <w:rPr>
          <w:rFonts w:ascii="Times New Roman" w:hAnsi="Times New Roman" w:eastAsia="楷体"/>
          <w:b/>
          <w:color w:val="000000" w:themeColor="text1"/>
          <w:sz w:val="32"/>
          <w:szCs w:val="32"/>
          <w14:textFill>
            <w14:solidFill>
              <w14:schemeClr w14:val="tx1"/>
            </w14:solidFill>
          </w14:textFill>
        </w:rPr>
      </w:pPr>
      <w:r>
        <w:rPr>
          <w:rFonts w:ascii="Times New Roman" w:hAnsi="Times New Roman" w:eastAsia="楷体"/>
          <w:b/>
          <w:color w:val="000000" w:themeColor="text1"/>
          <w:sz w:val="32"/>
          <w:szCs w:val="32"/>
          <w14:textFill>
            <w14:solidFill>
              <w14:schemeClr w14:val="tx1"/>
            </w14:solidFill>
          </w14:textFill>
        </w:rPr>
        <w:t>（四）预拌砂浆规模逐步扩大</w:t>
      </w:r>
    </w:p>
    <w:p>
      <w:pPr>
        <w:widowControl/>
        <w:ind w:firstLine="320" w:firstLineChars="100"/>
        <w:rPr>
          <w:rFonts w:ascii="Times New Roman" w:hAnsi="Times New Roman" w:eastAsia="仿宋_GB2312"/>
          <w:color w:val="000000" w:themeColor="text1"/>
          <w:kern w:val="0"/>
          <w:sz w:val="31"/>
          <w:szCs w:val="31"/>
          <w:lang w:bidi="ar"/>
          <w14:textFill>
            <w14:solidFill>
              <w14:schemeClr w14:val="tx1"/>
            </w14:solidFill>
          </w14:textFill>
        </w:rPr>
      </w:pPr>
      <w:r>
        <w:rPr>
          <w:rFonts w:hint="eastAsia" w:ascii="Times New Roman" w:hAnsi="Times New Roman" w:eastAsia="仿宋"/>
          <w:color w:val="000000" w:themeColor="text1"/>
          <w:sz w:val="32"/>
          <w:szCs w:val="32"/>
          <w14:textFill>
            <w14:solidFill>
              <w14:schemeClr w14:val="tx1"/>
            </w14:solidFill>
          </w14:textFill>
        </w:rPr>
        <w:t>“</w:t>
      </w:r>
      <w:r>
        <w:rPr>
          <w:rFonts w:ascii="Times New Roman" w:hAnsi="Times New Roman" w:eastAsia="仿宋"/>
          <w:color w:val="000000" w:themeColor="text1"/>
          <w:sz w:val="32"/>
          <w:szCs w:val="32"/>
          <w14:textFill>
            <w14:solidFill>
              <w14:schemeClr w14:val="tx1"/>
            </w14:solidFill>
          </w14:textFill>
        </w:rPr>
        <w:t>十三五</w:t>
      </w:r>
      <w:r>
        <w:rPr>
          <w:rFonts w:hint="eastAsia" w:ascii="Times New Roman" w:hAnsi="Times New Roman" w:eastAsia="仿宋"/>
          <w:color w:val="000000" w:themeColor="text1"/>
          <w:sz w:val="32"/>
          <w:szCs w:val="32"/>
          <w14:textFill>
            <w14:solidFill>
              <w14:schemeClr w14:val="tx1"/>
            </w14:solidFill>
          </w14:textFill>
        </w:rPr>
        <w:t>”</w:t>
      </w:r>
      <w:r>
        <w:rPr>
          <w:rFonts w:ascii="Times New Roman" w:hAnsi="Times New Roman" w:eastAsia="仿宋"/>
          <w:color w:val="000000" w:themeColor="text1"/>
          <w:sz w:val="32"/>
          <w:szCs w:val="32"/>
          <w14:textFill>
            <w14:solidFill>
              <w14:schemeClr w14:val="tx1"/>
            </w14:solidFill>
          </w14:textFill>
        </w:rPr>
        <w:t>期间，全市建成预拌砂浆站点</w:t>
      </w:r>
      <w:r>
        <w:rPr>
          <w:rFonts w:hint="eastAsia" w:ascii="Times New Roman" w:hAnsi="Times New Roman" w:eastAsia="仿宋"/>
          <w:color w:val="000000" w:themeColor="text1"/>
          <w:sz w:val="32"/>
          <w:szCs w:val="32"/>
          <w14:textFill>
            <w14:solidFill>
              <w14:schemeClr w14:val="tx1"/>
            </w14:solidFill>
          </w14:textFill>
        </w:rPr>
        <w:t>6</w:t>
      </w:r>
      <w:r>
        <w:rPr>
          <w:rFonts w:ascii="Times New Roman" w:hAnsi="Times New Roman" w:eastAsia="仿宋"/>
          <w:color w:val="000000" w:themeColor="text1"/>
          <w:sz w:val="32"/>
          <w:szCs w:val="32"/>
          <w14:textFill>
            <w14:solidFill>
              <w14:schemeClr w14:val="tx1"/>
            </w14:solidFill>
          </w14:textFill>
        </w:rPr>
        <w:t>个，设计总产能</w:t>
      </w:r>
      <w:r>
        <w:rPr>
          <w:rFonts w:hint="eastAsia" w:ascii="Times New Roman" w:hAnsi="Times New Roman" w:eastAsia="仿宋"/>
          <w:color w:val="000000" w:themeColor="text1"/>
          <w:sz w:val="32"/>
          <w:szCs w:val="32"/>
          <w14:textFill>
            <w14:solidFill>
              <w14:schemeClr w14:val="tx1"/>
            </w14:solidFill>
          </w14:textFill>
        </w:rPr>
        <w:t>140</w:t>
      </w:r>
      <w:r>
        <w:rPr>
          <w:rFonts w:ascii="Times New Roman" w:hAnsi="Times New Roman" w:eastAsia="仿宋"/>
          <w:color w:val="000000" w:themeColor="text1"/>
          <w:sz w:val="32"/>
          <w:szCs w:val="32"/>
          <w14:textFill>
            <w14:solidFill>
              <w14:schemeClr w14:val="tx1"/>
            </w14:solidFill>
          </w14:textFill>
        </w:rPr>
        <w:t>万吨/年，产品涵盖普通砂浆</w:t>
      </w:r>
      <w:r>
        <w:rPr>
          <w:rFonts w:hint="eastAsia" w:ascii="Times New Roman" w:hAnsi="Times New Roman" w:eastAsia="仿宋"/>
          <w:color w:val="000000" w:themeColor="text1"/>
          <w:sz w:val="32"/>
          <w:szCs w:val="32"/>
          <w14:textFill>
            <w14:solidFill>
              <w14:schemeClr w14:val="tx1"/>
            </w14:solidFill>
          </w14:textFill>
        </w:rPr>
        <w:t>、保温砂浆及防水砂浆等</w:t>
      </w:r>
      <w:r>
        <w:rPr>
          <w:rFonts w:ascii="Times New Roman" w:hAnsi="Times New Roman" w:eastAsia="仿宋"/>
          <w:color w:val="000000" w:themeColor="text1"/>
          <w:sz w:val="32"/>
          <w:szCs w:val="32"/>
          <w14:textFill>
            <w14:solidFill>
              <w14:schemeClr w14:val="tx1"/>
            </w14:solidFill>
          </w14:textFill>
        </w:rPr>
        <w:t>，基本满足</w:t>
      </w:r>
      <w:r>
        <w:rPr>
          <w:rFonts w:hint="eastAsia" w:ascii="Times New Roman" w:hAnsi="Times New Roman" w:eastAsia="仿宋"/>
          <w:color w:val="000000" w:themeColor="text1"/>
          <w:sz w:val="32"/>
          <w:szCs w:val="32"/>
          <w14:textFill>
            <w14:solidFill>
              <w14:schemeClr w14:val="tx1"/>
            </w14:solidFill>
          </w14:textFill>
        </w:rPr>
        <w:t>本地</w:t>
      </w:r>
      <w:r>
        <w:rPr>
          <w:rFonts w:ascii="Times New Roman" w:hAnsi="Times New Roman" w:eastAsia="仿宋"/>
          <w:color w:val="000000" w:themeColor="text1"/>
          <w:sz w:val="32"/>
          <w:szCs w:val="32"/>
          <w14:textFill>
            <w14:solidFill>
              <w14:schemeClr w14:val="tx1"/>
            </w14:solidFill>
          </w14:textFill>
        </w:rPr>
        <w:t>市场需求。同时预拌砂浆的生产和应用技术也逐步提高，</w:t>
      </w:r>
      <w:r>
        <w:rPr>
          <w:rFonts w:ascii="Times New Roman" w:hAnsi="Times New Roman" w:eastAsia="仿宋_GB2312"/>
          <w:color w:val="000000" w:themeColor="text1"/>
          <w:kern w:val="0"/>
          <w:sz w:val="31"/>
          <w:szCs w:val="31"/>
          <w:lang w:bidi="ar"/>
          <w14:textFill>
            <w14:solidFill>
              <w14:schemeClr w14:val="tx1"/>
            </w14:solidFill>
          </w14:textFill>
        </w:rPr>
        <w:t>为进一步推广使用预拌砂浆工作打下了良好基础。</w:t>
      </w:r>
    </w:p>
    <w:p>
      <w:pPr>
        <w:spacing w:line="360" w:lineRule="auto"/>
        <w:ind w:firstLine="640" w:firstLineChars="200"/>
        <w:jc w:val="left"/>
        <w:outlineLvl w:val="1"/>
        <w:rPr>
          <w:rFonts w:ascii="Times New Roman" w:hAnsi="Times New Roman" w:eastAsia="黑体"/>
          <w:bCs/>
          <w:color w:val="000000" w:themeColor="text1"/>
          <w:sz w:val="32"/>
          <w:szCs w:val="28"/>
          <w14:textFill>
            <w14:solidFill>
              <w14:schemeClr w14:val="tx1"/>
            </w14:solidFill>
          </w14:textFill>
        </w:rPr>
      </w:pPr>
      <w:bookmarkStart w:id="29" w:name="_Toc31173"/>
      <w:bookmarkStart w:id="30" w:name="_Toc16601"/>
      <w:bookmarkStart w:id="31" w:name="_Toc21310"/>
      <w:bookmarkStart w:id="32" w:name="_Toc31534"/>
      <w:r>
        <w:rPr>
          <w:rFonts w:hint="eastAsia" w:ascii="Times New Roman" w:hAnsi="Times New Roman" w:eastAsia="黑体"/>
          <w:bCs/>
          <w:color w:val="000000" w:themeColor="text1"/>
          <w:sz w:val="32"/>
          <w:szCs w:val="28"/>
          <w14:textFill>
            <w14:solidFill>
              <w14:schemeClr w14:val="tx1"/>
            </w14:solidFill>
          </w14:textFill>
        </w:rPr>
        <w:t>三、“十三五”规划指标完成情况</w:t>
      </w:r>
      <w:bookmarkEnd w:id="29"/>
      <w:bookmarkEnd w:id="30"/>
    </w:p>
    <w:p>
      <w:pPr>
        <w:spacing w:line="360" w:lineRule="auto"/>
        <w:ind w:firstLine="640" w:firstLineChars="200"/>
        <w:rPr>
          <w:rFonts w:ascii="Times New Roman" w:hAnsi="Times New Roman" w:eastAsia="仿宋"/>
          <w:color w:val="000000" w:themeColor="text1"/>
          <w:sz w:val="32"/>
          <w:szCs w:val="32"/>
          <w14:textFill>
            <w14:solidFill>
              <w14:schemeClr w14:val="tx1"/>
            </w14:solidFill>
          </w14:textFill>
        </w:rPr>
      </w:pPr>
      <w:r>
        <w:rPr>
          <w:rFonts w:ascii="Times New Roman" w:hAnsi="Times New Roman" w:eastAsia="仿宋"/>
          <w:color w:val="000000" w:themeColor="text1"/>
          <w:sz w:val="32"/>
          <w:szCs w:val="32"/>
          <w14:textFill>
            <w14:solidFill>
              <w14:schemeClr w14:val="tx1"/>
            </w14:solidFill>
          </w14:textFill>
        </w:rPr>
        <w:t>《广西散装水泥、预拌混凝土、预拌砂浆发展</w:t>
      </w:r>
      <w:r>
        <w:rPr>
          <w:rFonts w:hint="eastAsia" w:ascii="Times New Roman" w:hAnsi="Times New Roman" w:eastAsia="仿宋"/>
          <w:color w:val="000000" w:themeColor="text1"/>
          <w:sz w:val="32"/>
          <w:szCs w:val="32"/>
          <w14:textFill>
            <w14:solidFill>
              <w14:schemeClr w14:val="tx1"/>
            </w14:solidFill>
          </w14:textFill>
        </w:rPr>
        <w:t>“</w:t>
      </w:r>
      <w:r>
        <w:rPr>
          <w:rFonts w:ascii="Times New Roman" w:hAnsi="Times New Roman" w:eastAsia="仿宋"/>
          <w:color w:val="000000" w:themeColor="text1"/>
          <w:sz w:val="32"/>
          <w:szCs w:val="32"/>
          <w14:textFill>
            <w14:solidFill>
              <w14:schemeClr w14:val="tx1"/>
            </w14:solidFill>
          </w14:textFill>
        </w:rPr>
        <w:t>十三五</w:t>
      </w:r>
      <w:r>
        <w:rPr>
          <w:rFonts w:hint="eastAsia" w:ascii="Times New Roman" w:hAnsi="Times New Roman" w:eastAsia="仿宋"/>
          <w:color w:val="000000" w:themeColor="text1"/>
          <w:sz w:val="32"/>
          <w:szCs w:val="32"/>
          <w14:textFill>
            <w14:solidFill>
              <w14:schemeClr w14:val="tx1"/>
            </w14:solidFill>
          </w14:textFill>
        </w:rPr>
        <w:t>”</w:t>
      </w:r>
      <w:r>
        <w:rPr>
          <w:rFonts w:ascii="Times New Roman" w:hAnsi="Times New Roman" w:eastAsia="仿宋"/>
          <w:color w:val="000000" w:themeColor="text1"/>
          <w:sz w:val="32"/>
          <w:szCs w:val="32"/>
          <w14:textFill>
            <w14:solidFill>
              <w14:schemeClr w14:val="tx1"/>
            </w14:solidFill>
          </w14:textFill>
        </w:rPr>
        <w:t>规划》对钦州市提出的行业发展目标</w:t>
      </w:r>
      <w:r>
        <w:rPr>
          <w:rFonts w:hint="eastAsia" w:ascii="Times New Roman" w:hAnsi="Times New Roman" w:eastAsia="仿宋"/>
          <w:color w:val="000000" w:themeColor="text1"/>
          <w:sz w:val="32"/>
          <w:szCs w:val="32"/>
          <w14:textFill>
            <w14:solidFill>
              <w14:schemeClr w14:val="tx1"/>
            </w14:solidFill>
          </w14:textFill>
        </w:rPr>
        <w:t>及完成情况如表1-6所示。</w:t>
      </w:r>
    </w:p>
    <w:p>
      <w:pPr>
        <w:adjustRightInd w:val="0"/>
        <w:snapToGrid w:val="0"/>
        <w:jc w:val="center"/>
        <w:rPr>
          <w:rFonts w:ascii="Times New Roman" w:hAnsi="Times New Roman" w:eastAsia="仿宋"/>
          <w:b/>
          <w:bCs/>
          <w:color w:val="000000" w:themeColor="text1"/>
          <w:sz w:val="24"/>
          <w:szCs w:val="24"/>
          <w14:textFill>
            <w14:solidFill>
              <w14:schemeClr w14:val="tx1"/>
            </w14:solidFill>
          </w14:textFill>
        </w:rPr>
      </w:pPr>
      <w:r>
        <w:rPr>
          <w:rFonts w:hint="eastAsia" w:ascii="Times New Roman" w:hAnsi="Times New Roman" w:eastAsia="仿宋"/>
          <w:b/>
          <w:bCs/>
          <w:color w:val="000000" w:themeColor="text1"/>
          <w:sz w:val="24"/>
          <w:szCs w:val="24"/>
          <w14:textFill>
            <w14:solidFill>
              <w14:schemeClr w14:val="tx1"/>
            </w14:solidFill>
          </w14:textFill>
        </w:rPr>
        <w:t>表1-6 钦州市“十三五”期间行业发展目标及完成情况</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1"/>
        <w:gridCol w:w="2033"/>
        <w:gridCol w:w="1803"/>
        <w:gridCol w:w="2361"/>
        <w:gridCol w:w="16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1" w:type="dxa"/>
            <w:vAlign w:val="center"/>
          </w:tcPr>
          <w:p>
            <w:pPr>
              <w:adjustRightInd w:val="0"/>
              <w:snapToGrid w:val="0"/>
              <w:jc w:val="center"/>
              <w:rPr>
                <w:rFonts w:ascii="Times New Roman" w:hAnsi="Times New Roman" w:eastAsia="仿宋"/>
                <w:b/>
                <w:bCs/>
                <w:color w:val="000000" w:themeColor="text1"/>
                <w:sz w:val="24"/>
                <w:szCs w:val="24"/>
                <w14:textFill>
                  <w14:solidFill>
                    <w14:schemeClr w14:val="tx1"/>
                  </w14:solidFill>
                </w14:textFill>
              </w:rPr>
            </w:pPr>
            <w:r>
              <w:rPr>
                <w:rFonts w:hint="eastAsia" w:ascii="Times New Roman" w:hAnsi="Times New Roman" w:eastAsia="仿宋"/>
                <w:b/>
                <w:bCs/>
                <w:color w:val="000000" w:themeColor="text1"/>
                <w:sz w:val="24"/>
                <w:szCs w:val="24"/>
                <w14:textFill>
                  <w14:solidFill>
                    <w14:schemeClr w14:val="tx1"/>
                  </w14:solidFill>
                </w14:textFill>
              </w:rPr>
              <w:t>序号</w:t>
            </w:r>
          </w:p>
        </w:tc>
        <w:tc>
          <w:tcPr>
            <w:tcW w:w="2033" w:type="dxa"/>
            <w:vAlign w:val="center"/>
          </w:tcPr>
          <w:p>
            <w:pPr>
              <w:adjustRightInd w:val="0"/>
              <w:snapToGrid w:val="0"/>
              <w:jc w:val="center"/>
              <w:rPr>
                <w:rFonts w:ascii="Times New Roman" w:hAnsi="Times New Roman" w:eastAsia="仿宋"/>
                <w:b/>
                <w:bCs/>
                <w:color w:val="000000" w:themeColor="text1"/>
                <w:sz w:val="24"/>
                <w:szCs w:val="24"/>
                <w14:textFill>
                  <w14:solidFill>
                    <w14:schemeClr w14:val="tx1"/>
                  </w14:solidFill>
                </w14:textFill>
              </w:rPr>
            </w:pPr>
            <w:r>
              <w:rPr>
                <w:rFonts w:hint="eastAsia" w:ascii="Times New Roman" w:hAnsi="Times New Roman" w:eastAsia="仿宋"/>
                <w:b/>
                <w:bCs/>
                <w:color w:val="000000" w:themeColor="text1"/>
                <w:sz w:val="24"/>
                <w:szCs w:val="24"/>
                <w14:textFill>
                  <w14:solidFill>
                    <w14:schemeClr w14:val="tx1"/>
                  </w14:solidFill>
                </w14:textFill>
              </w:rPr>
              <w:t>目标（2020年）</w:t>
            </w:r>
          </w:p>
        </w:tc>
        <w:tc>
          <w:tcPr>
            <w:tcW w:w="1803" w:type="dxa"/>
            <w:vAlign w:val="center"/>
          </w:tcPr>
          <w:p>
            <w:pPr>
              <w:adjustRightInd w:val="0"/>
              <w:snapToGrid w:val="0"/>
              <w:jc w:val="center"/>
              <w:rPr>
                <w:rFonts w:ascii="Times New Roman" w:hAnsi="Times New Roman" w:eastAsia="仿宋"/>
                <w:b/>
                <w:bCs/>
                <w:color w:val="000000" w:themeColor="text1"/>
                <w:sz w:val="24"/>
                <w:szCs w:val="24"/>
                <w14:textFill>
                  <w14:solidFill>
                    <w14:schemeClr w14:val="tx1"/>
                  </w14:solidFill>
                </w14:textFill>
              </w:rPr>
            </w:pPr>
            <w:r>
              <w:rPr>
                <w:rFonts w:hint="eastAsia" w:ascii="Times New Roman" w:hAnsi="Times New Roman" w:eastAsia="仿宋"/>
                <w:b/>
                <w:bCs/>
                <w:color w:val="000000" w:themeColor="text1"/>
                <w:sz w:val="24"/>
                <w:szCs w:val="24"/>
                <w14:textFill>
                  <w14:solidFill>
                    <w14:schemeClr w14:val="tx1"/>
                  </w14:solidFill>
                </w14:textFill>
              </w:rPr>
              <w:t>规划指标</w:t>
            </w:r>
          </w:p>
        </w:tc>
        <w:tc>
          <w:tcPr>
            <w:tcW w:w="2361" w:type="dxa"/>
            <w:vAlign w:val="center"/>
          </w:tcPr>
          <w:p>
            <w:pPr>
              <w:adjustRightInd w:val="0"/>
              <w:snapToGrid w:val="0"/>
              <w:jc w:val="center"/>
              <w:rPr>
                <w:rFonts w:ascii="Times New Roman" w:hAnsi="Times New Roman" w:eastAsia="仿宋"/>
                <w:b/>
                <w:bCs/>
                <w:color w:val="000000" w:themeColor="text1"/>
                <w:sz w:val="24"/>
                <w:szCs w:val="24"/>
                <w14:textFill>
                  <w14:solidFill>
                    <w14:schemeClr w14:val="tx1"/>
                  </w14:solidFill>
                </w14:textFill>
              </w:rPr>
            </w:pPr>
            <w:r>
              <w:rPr>
                <w:rFonts w:hint="eastAsia" w:ascii="Times New Roman" w:hAnsi="Times New Roman" w:eastAsia="仿宋"/>
                <w:b/>
                <w:bCs/>
                <w:color w:val="000000" w:themeColor="text1"/>
                <w:sz w:val="24"/>
                <w:szCs w:val="24"/>
                <w14:textFill>
                  <w14:solidFill>
                    <w14:schemeClr w14:val="tx1"/>
                  </w14:solidFill>
                </w14:textFill>
              </w:rPr>
              <w:t>完成情况（2020年）</w:t>
            </w:r>
          </w:p>
        </w:tc>
        <w:tc>
          <w:tcPr>
            <w:tcW w:w="1691" w:type="dxa"/>
            <w:vAlign w:val="center"/>
          </w:tcPr>
          <w:p>
            <w:pPr>
              <w:adjustRightInd w:val="0"/>
              <w:snapToGrid w:val="0"/>
              <w:jc w:val="center"/>
              <w:rPr>
                <w:rFonts w:ascii="Times New Roman" w:hAnsi="Times New Roman" w:eastAsia="仿宋"/>
                <w:b/>
                <w:bCs/>
                <w:color w:val="000000" w:themeColor="text1"/>
                <w:sz w:val="24"/>
                <w:szCs w:val="24"/>
                <w14:textFill>
                  <w14:solidFill>
                    <w14:schemeClr w14:val="tx1"/>
                  </w14:solidFill>
                </w14:textFill>
              </w:rPr>
            </w:pPr>
            <w:r>
              <w:rPr>
                <w:rFonts w:hint="eastAsia" w:ascii="Times New Roman" w:hAnsi="Times New Roman" w:eastAsia="仿宋"/>
                <w:b/>
                <w:bCs/>
                <w:color w:val="000000" w:themeColor="text1"/>
                <w:sz w:val="24"/>
                <w:szCs w:val="24"/>
                <w14:textFill>
                  <w14:solidFill>
                    <w14:schemeClr w14:val="tx1"/>
                  </w14:solidFill>
                </w14:textFill>
              </w:rPr>
              <w:t>情况说明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1" w:type="dxa"/>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1</w:t>
            </w:r>
          </w:p>
        </w:tc>
        <w:tc>
          <w:tcPr>
            <w:tcW w:w="2033" w:type="dxa"/>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水泥散装率（%）</w:t>
            </w:r>
          </w:p>
        </w:tc>
        <w:tc>
          <w:tcPr>
            <w:tcW w:w="1803" w:type="dxa"/>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60.26</w:t>
            </w:r>
          </w:p>
        </w:tc>
        <w:tc>
          <w:tcPr>
            <w:tcW w:w="2361" w:type="dxa"/>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完成</w:t>
            </w:r>
          </w:p>
        </w:tc>
        <w:tc>
          <w:tcPr>
            <w:tcW w:w="1691" w:type="dxa"/>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1" w:type="dxa"/>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2</w:t>
            </w:r>
          </w:p>
        </w:tc>
        <w:tc>
          <w:tcPr>
            <w:tcW w:w="2033" w:type="dxa"/>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散装水泥供应量（万吨）</w:t>
            </w:r>
          </w:p>
        </w:tc>
        <w:tc>
          <w:tcPr>
            <w:tcW w:w="1803" w:type="dxa"/>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235</w:t>
            </w:r>
          </w:p>
        </w:tc>
        <w:tc>
          <w:tcPr>
            <w:tcW w:w="2361" w:type="dxa"/>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未完成（58.66）</w:t>
            </w:r>
          </w:p>
        </w:tc>
        <w:tc>
          <w:tcPr>
            <w:tcW w:w="1691" w:type="dxa"/>
            <w:vAlign w:val="center"/>
          </w:tcPr>
          <w:p>
            <w:pPr>
              <w:adjustRightInd w:val="0"/>
              <w:snapToGrid w:val="0"/>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2020年受疫情影响经济下行，企业产能未充分发挥。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1" w:type="dxa"/>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3</w:t>
            </w:r>
          </w:p>
        </w:tc>
        <w:tc>
          <w:tcPr>
            <w:tcW w:w="2033" w:type="dxa"/>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预拌混凝土绿色生产发展目标</w:t>
            </w:r>
          </w:p>
        </w:tc>
        <w:tc>
          <w:tcPr>
            <w:tcW w:w="1803" w:type="dxa"/>
            <w:vAlign w:val="center"/>
          </w:tcPr>
          <w:p>
            <w:pPr>
              <w:adjustRightInd w:val="0"/>
              <w:snapToGrid w:val="0"/>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80%预拌混凝土生产企业达到绿色生产一星级及以上水平，其中50%达到二星级及以上水平。</w:t>
            </w:r>
          </w:p>
        </w:tc>
        <w:tc>
          <w:tcPr>
            <w:tcW w:w="2361" w:type="dxa"/>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未完成</w:t>
            </w:r>
          </w:p>
        </w:tc>
        <w:tc>
          <w:tcPr>
            <w:tcW w:w="1691" w:type="dxa"/>
            <w:vAlign w:val="center"/>
          </w:tcPr>
          <w:p>
            <w:pPr>
              <w:adjustRightInd w:val="0"/>
              <w:snapToGrid w:val="0"/>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缺乏相关引导和鼓励政策的推动，企业开展绿色生产改造的积极性不高。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1" w:type="dxa"/>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4</w:t>
            </w:r>
          </w:p>
        </w:tc>
        <w:tc>
          <w:tcPr>
            <w:tcW w:w="2033" w:type="dxa"/>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预拌混凝土供应量（万立方米）</w:t>
            </w:r>
          </w:p>
        </w:tc>
        <w:tc>
          <w:tcPr>
            <w:tcW w:w="1803" w:type="dxa"/>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430</w:t>
            </w:r>
          </w:p>
        </w:tc>
        <w:tc>
          <w:tcPr>
            <w:tcW w:w="2361" w:type="dxa"/>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完成（591）</w:t>
            </w:r>
          </w:p>
        </w:tc>
        <w:tc>
          <w:tcPr>
            <w:tcW w:w="1691" w:type="dxa"/>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1" w:type="dxa"/>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5</w:t>
            </w:r>
          </w:p>
        </w:tc>
        <w:tc>
          <w:tcPr>
            <w:tcW w:w="2033" w:type="dxa"/>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预拌砂浆供应量（万吨）</w:t>
            </w:r>
          </w:p>
        </w:tc>
        <w:tc>
          <w:tcPr>
            <w:tcW w:w="1803" w:type="dxa"/>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约5万吨</w:t>
            </w:r>
          </w:p>
        </w:tc>
        <w:tc>
          <w:tcPr>
            <w:tcW w:w="2361" w:type="dxa"/>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完成（39.5）</w:t>
            </w:r>
          </w:p>
        </w:tc>
        <w:tc>
          <w:tcPr>
            <w:tcW w:w="1691" w:type="dxa"/>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w:t>
            </w:r>
          </w:p>
        </w:tc>
      </w:tr>
    </w:tbl>
    <w:p>
      <w:pPr>
        <w:pStyle w:val="2"/>
        <w:rPr>
          <w:color w:val="000000" w:themeColor="text1"/>
          <w14:textFill>
            <w14:solidFill>
              <w14:schemeClr w14:val="tx1"/>
            </w14:solidFill>
          </w14:textFill>
        </w:rPr>
      </w:pPr>
    </w:p>
    <w:p>
      <w:pPr>
        <w:spacing w:line="360" w:lineRule="auto"/>
        <w:ind w:firstLine="640" w:firstLineChars="200"/>
        <w:jc w:val="left"/>
        <w:outlineLvl w:val="1"/>
        <w:rPr>
          <w:rFonts w:ascii="Times New Roman" w:hAnsi="Times New Roman" w:eastAsia="黑体"/>
          <w:bCs/>
          <w:color w:val="000000" w:themeColor="text1"/>
          <w:sz w:val="28"/>
          <w:szCs w:val="28"/>
          <w14:textFill>
            <w14:solidFill>
              <w14:schemeClr w14:val="tx1"/>
            </w14:solidFill>
          </w14:textFill>
        </w:rPr>
      </w:pPr>
      <w:bookmarkStart w:id="33" w:name="_Toc4040"/>
      <w:bookmarkStart w:id="34" w:name="_Toc27091"/>
      <w:r>
        <w:rPr>
          <w:rFonts w:hint="eastAsia" w:ascii="Times New Roman" w:hAnsi="Times New Roman" w:eastAsia="黑体"/>
          <w:bCs/>
          <w:color w:val="000000" w:themeColor="text1"/>
          <w:sz w:val="32"/>
          <w:szCs w:val="28"/>
          <w14:textFill>
            <w14:solidFill>
              <w14:schemeClr w14:val="tx1"/>
            </w14:solidFill>
          </w14:textFill>
        </w:rPr>
        <w:t>四</w:t>
      </w:r>
      <w:r>
        <w:rPr>
          <w:rFonts w:ascii="Times New Roman" w:hAnsi="Times New Roman" w:eastAsia="黑体"/>
          <w:bCs/>
          <w:color w:val="000000" w:themeColor="text1"/>
          <w:sz w:val="32"/>
          <w:szCs w:val="28"/>
          <w14:textFill>
            <w14:solidFill>
              <w14:schemeClr w14:val="tx1"/>
            </w14:solidFill>
          </w14:textFill>
        </w:rPr>
        <w:t>、存在的问题</w:t>
      </w:r>
      <w:bookmarkEnd w:id="31"/>
      <w:bookmarkEnd w:id="32"/>
      <w:bookmarkEnd w:id="33"/>
      <w:bookmarkEnd w:id="34"/>
    </w:p>
    <w:p>
      <w:pPr>
        <w:spacing w:line="360" w:lineRule="auto"/>
        <w:ind w:firstLine="643" w:firstLineChars="200"/>
        <w:outlineLvl w:val="2"/>
        <w:rPr>
          <w:rFonts w:ascii="Times New Roman" w:hAnsi="Times New Roman" w:eastAsia="楷体"/>
          <w:b/>
          <w:color w:val="000000" w:themeColor="text1"/>
          <w:sz w:val="32"/>
          <w:szCs w:val="32"/>
          <w14:textFill>
            <w14:solidFill>
              <w14:schemeClr w14:val="tx1"/>
            </w14:solidFill>
          </w14:textFill>
        </w:rPr>
      </w:pPr>
      <w:r>
        <w:rPr>
          <w:rFonts w:ascii="Times New Roman" w:hAnsi="Times New Roman" w:eastAsia="楷体"/>
          <w:b/>
          <w:color w:val="000000" w:themeColor="text1"/>
          <w:sz w:val="32"/>
          <w:szCs w:val="32"/>
          <w14:textFill>
            <w14:solidFill>
              <w14:schemeClr w14:val="tx1"/>
            </w14:solidFill>
          </w14:textFill>
        </w:rPr>
        <w:t>（一）原材料保障水平有待提高</w:t>
      </w:r>
    </w:p>
    <w:p>
      <w:pPr>
        <w:spacing w:line="360" w:lineRule="auto"/>
        <w:ind w:firstLine="640" w:firstLineChars="200"/>
        <w:rPr>
          <w:rFonts w:ascii="Times New Roman" w:hAnsi="Times New Roman" w:eastAsia="仿宋"/>
          <w:color w:val="000000" w:themeColor="text1"/>
          <w:sz w:val="32"/>
          <w:szCs w:val="32"/>
          <w14:textFill>
            <w14:solidFill>
              <w14:schemeClr w14:val="tx1"/>
            </w14:solidFill>
          </w14:textFill>
        </w:rPr>
      </w:pPr>
      <w:r>
        <w:rPr>
          <w:rFonts w:ascii="Times New Roman" w:hAnsi="Times New Roman" w:eastAsia="仿宋"/>
          <w:color w:val="000000" w:themeColor="text1"/>
          <w:sz w:val="32"/>
          <w:szCs w:val="32"/>
          <w14:textFill>
            <w14:solidFill>
              <w14:schemeClr w14:val="tx1"/>
            </w14:solidFill>
          </w14:textFill>
        </w:rPr>
        <w:t>主要体现在砂石原材料质量保障水平低；长期以来由于缺乏相关产业规划和政策的引导，砂石、掺合料企业生产和销售的管理无法规范化，企业生产规模、技术和质量管理水平参差不齐，钦州市砂石资源开采以小矿点居多，区域供给不稳定，而且多数企业未设置试验室，出厂的产品质量不稳定，且未进行合格性检验，在一定程度上影响预拌混凝土</w:t>
      </w:r>
      <w:r>
        <w:rPr>
          <w:rFonts w:hint="eastAsia" w:ascii="Times New Roman" w:hAnsi="Times New Roman" w:eastAsia="仿宋"/>
          <w:color w:val="000000" w:themeColor="text1"/>
          <w:sz w:val="32"/>
          <w:szCs w:val="32"/>
          <w14:textFill>
            <w14:solidFill>
              <w14:schemeClr w14:val="tx1"/>
            </w14:solidFill>
          </w14:textFill>
        </w:rPr>
        <w:t>、预拌砂浆等下游</w:t>
      </w:r>
      <w:r>
        <w:rPr>
          <w:rFonts w:ascii="Times New Roman" w:hAnsi="Times New Roman" w:eastAsia="仿宋"/>
          <w:color w:val="000000" w:themeColor="text1"/>
          <w:sz w:val="32"/>
          <w:szCs w:val="32"/>
          <w14:textFill>
            <w14:solidFill>
              <w14:schemeClr w14:val="tx1"/>
            </w14:solidFill>
          </w14:textFill>
        </w:rPr>
        <w:t>行业产品质量。</w:t>
      </w:r>
    </w:p>
    <w:p>
      <w:pPr>
        <w:spacing w:line="360" w:lineRule="auto"/>
        <w:ind w:firstLine="643" w:firstLineChars="200"/>
        <w:outlineLvl w:val="2"/>
        <w:rPr>
          <w:rFonts w:ascii="Times New Roman" w:hAnsi="Times New Roman" w:eastAsia="楷体"/>
          <w:b/>
          <w:color w:val="000000" w:themeColor="text1"/>
          <w:sz w:val="32"/>
          <w:szCs w:val="32"/>
          <w14:textFill>
            <w14:solidFill>
              <w14:schemeClr w14:val="tx1"/>
            </w14:solidFill>
          </w14:textFill>
        </w:rPr>
      </w:pPr>
      <w:r>
        <w:rPr>
          <w:rFonts w:ascii="Times New Roman" w:hAnsi="Times New Roman" w:eastAsia="楷体"/>
          <w:b/>
          <w:color w:val="000000" w:themeColor="text1"/>
          <w:sz w:val="32"/>
          <w:szCs w:val="32"/>
          <w14:textFill>
            <w14:solidFill>
              <w14:schemeClr w14:val="tx1"/>
            </w14:solidFill>
          </w14:textFill>
        </w:rPr>
        <w:t>（二）预拌混凝土行业高质量发展有待突破</w:t>
      </w:r>
    </w:p>
    <w:p>
      <w:pPr>
        <w:spacing w:line="360" w:lineRule="auto"/>
        <w:ind w:firstLine="640" w:firstLineChars="200"/>
        <w:rPr>
          <w:rFonts w:ascii="Times New Roman" w:hAnsi="Times New Roman" w:eastAsia="仿宋"/>
          <w:color w:val="000000" w:themeColor="text1"/>
          <w:sz w:val="32"/>
          <w:szCs w:val="32"/>
          <w14:textFill>
            <w14:solidFill>
              <w14:schemeClr w14:val="tx1"/>
            </w14:solidFill>
          </w14:textFill>
        </w:rPr>
      </w:pPr>
      <w:r>
        <w:rPr>
          <w:rFonts w:ascii="Times New Roman" w:hAnsi="Times New Roman" w:eastAsia="仿宋"/>
          <w:color w:val="000000" w:themeColor="text1"/>
          <w:sz w:val="32"/>
          <w:szCs w:val="32"/>
          <w14:textFill>
            <w14:solidFill>
              <w14:schemeClr w14:val="tx1"/>
            </w14:solidFill>
          </w14:textFill>
        </w:rPr>
        <w:t>一是城乡发展不平衡，全市预拌混凝土产能</w:t>
      </w:r>
      <w:r>
        <w:rPr>
          <w:rFonts w:hint="eastAsia" w:ascii="Times New Roman" w:hAnsi="Times New Roman" w:eastAsia="仿宋"/>
          <w:color w:val="000000" w:themeColor="text1"/>
          <w:sz w:val="32"/>
          <w:szCs w:val="32"/>
          <w14:textFill>
            <w14:solidFill>
              <w14:schemeClr w14:val="tx1"/>
            </w14:solidFill>
          </w14:textFill>
        </w:rPr>
        <w:t>总体</w:t>
      </w:r>
      <w:r>
        <w:rPr>
          <w:rFonts w:ascii="Times New Roman" w:hAnsi="Times New Roman" w:eastAsia="仿宋"/>
          <w:color w:val="000000" w:themeColor="text1"/>
          <w:sz w:val="32"/>
          <w:szCs w:val="32"/>
          <w14:textFill>
            <w14:solidFill>
              <w14:schemeClr w14:val="tx1"/>
            </w14:solidFill>
          </w14:textFill>
        </w:rPr>
        <w:t>利用率低，平均</w:t>
      </w:r>
      <w:r>
        <w:rPr>
          <w:rFonts w:hint="eastAsia" w:ascii="Times New Roman" w:hAnsi="Times New Roman" w:eastAsia="仿宋"/>
          <w:color w:val="000000" w:themeColor="text1"/>
          <w:sz w:val="32"/>
          <w:szCs w:val="32"/>
          <w14:textFill>
            <w14:solidFill>
              <w14:schemeClr w14:val="tx1"/>
            </w14:solidFill>
          </w14:textFill>
        </w:rPr>
        <w:t>仅</w:t>
      </w:r>
      <w:r>
        <w:rPr>
          <w:rFonts w:ascii="Times New Roman" w:hAnsi="Times New Roman" w:eastAsia="仿宋"/>
          <w:color w:val="000000" w:themeColor="text1"/>
          <w:sz w:val="32"/>
          <w:szCs w:val="32"/>
          <w14:textFill>
            <w14:solidFill>
              <w14:schemeClr w14:val="tx1"/>
            </w14:solidFill>
          </w14:textFill>
        </w:rPr>
        <w:t>为</w:t>
      </w:r>
      <w:r>
        <w:rPr>
          <w:rFonts w:hint="eastAsia" w:ascii="Times New Roman" w:hAnsi="Times New Roman" w:eastAsia="仿宋"/>
          <w:color w:val="000000" w:themeColor="text1"/>
          <w:sz w:val="32"/>
          <w:szCs w:val="32"/>
          <w14:textFill>
            <w14:solidFill>
              <w14:schemeClr w14:val="tx1"/>
            </w14:solidFill>
          </w14:textFill>
        </w:rPr>
        <w:t>23</w:t>
      </w:r>
      <w:r>
        <w:rPr>
          <w:rFonts w:ascii="Times New Roman" w:hAnsi="Times New Roman" w:eastAsia="仿宋"/>
          <w:color w:val="000000" w:themeColor="text1"/>
          <w:sz w:val="32"/>
          <w:szCs w:val="32"/>
          <w14:textFill>
            <w14:solidFill>
              <w14:schemeClr w14:val="tx1"/>
            </w14:solidFill>
          </w14:textFill>
        </w:rPr>
        <w:t>%，</w:t>
      </w:r>
      <w:r>
        <w:rPr>
          <w:rFonts w:hint="eastAsia" w:ascii="Times New Roman" w:hAnsi="Times New Roman" w:eastAsia="仿宋"/>
          <w:color w:val="000000" w:themeColor="text1"/>
          <w:sz w:val="32"/>
          <w:szCs w:val="32"/>
          <w14:textFill>
            <w14:solidFill>
              <w14:schemeClr w14:val="tx1"/>
            </w14:solidFill>
          </w14:textFill>
        </w:rPr>
        <w:t>同时站点布局不够科学合理，</w:t>
      </w:r>
      <w:r>
        <w:rPr>
          <w:rFonts w:ascii="Times New Roman" w:hAnsi="Times New Roman" w:eastAsia="仿宋"/>
          <w:color w:val="000000" w:themeColor="text1"/>
          <w:sz w:val="32"/>
          <w:szCs w:val="32"/>
          <w14:textFill>
            <w14:solidFill>
              <w14:schemeClr w14:val="tx1"/>
            </w14:solidFill>
          </w14:textFill>
        </w:rPr>
        <w:t>现有预拌混凝土产能主要集中在城区及周边，</w:t>
      </w:r>
      <w:r>
        <w:rPr>
          <w:rFonts w:hint="eastAsia" w:ascii="Times New Roman" w:hAnsi="Times New Roman" w:eastAsia="仿宋"/>
          <w:color w:val="000000" w:themeColor="text1"/>
          <w:sz w:val="32"/>
          <w:szCs w:val="32"/>
          <w14:textFill>
            <w14:solidFill>
              <w14:schemeClr w14:val="tx1"/>
            </w14:solidFill>
          </w14:textFill>
        </w:rPr>
        <w:t>由于价格、运输、观念等因素限制，</w:t>
      </w:r>
      <w:r>
        <w:rPr>
          <w:rFonts w:ascii="Times New Roman" w:hAnsi="Times New Roman" w:eastAsia="仿宋"/>
          <w:color w:val="000000" w:themeColor="text1"/>
          <w:sz w:val="32"/>
          <w:szCs w:val="32"/>
          <w14:textFill>
            <w14:solidFill>
              <w14:schemeClr w14:val="tx1"/>
            </w14:solidFill>
          </w14:textFill>
        </w:rPr>
        <w:t>乡镇地区发展相对缓慢，亟需优化布局；二是行业自律性差，近两年受市场影响，预拌混凝土供应量偏低，各企业间内部低价竞争问题严重，</w:t>
      </w:r>
      <w:r>
        <w:rPr>
          <w:rFonts w:hint="eastAsia" w:ascii="Times New Roman" w:hAnsi="Times New Roman" w:eastAsia="仿宋"/>
          <w:color w:val="000000" w:themeColor="text1"/>
          <w:sz w:val="32"/>
          <w:szCs w:val="32"/>
          <w14:textFill>
            <w14:solidFill>
              <w14:schemeClr w14:val="tx1"/>
            </w14:solidFill>
          </w14:textFill>
        </w:rPr>
        <w:t>同时高性能预拌混凝土</w:t>
      </w:r>
      <w:r>
        <w:rPr>
          <w:rFonts w:ascii="Times New Roman" w:hAnsi="Times New Roman" w:eastAsia="仿宋"/>
          <w:color w:val="000000" w:themeColor="text1"/>
          <w:sz w:val="32"/>
          <w:szCs w:val="32"/>
          <w14:textFill>
            <w14:solidFill>
              <w14:schemeClr w14:val="tx1"/>
            </w14:solidFill>
          </w14:textFill>
        </w:rPr>
        <w:t>发展缓慢，超半数企业以生产</w:t>
      </w:r>
      <w:r>
        <w:rPr>
          <w:rFonts w:hint="eastAsia" w:ascii="Times New Roman" w:hAnsi="Times New Roman" w:eastAsia="仿宋"/>
          <w:color w:val="000000" w:themeColor="text1"/>
          <w:sz w:val="32"/>
          <w:szCs w:val="32"/>
          <w14:textFill>
            <w14:solidFill>
              <w14:schemeClr w14:val="tx1"/>
            </w14:solidFill>
          </w14:textFill>
        </w:rPr>
        <w:t>C20-C40中低强度预拌混凝土为主，</w:t>
      </w:r>
      <w:r>
        <w:rPr>
          <w:rFonts w:ascii="Times New Roman" w:hAnsi="Times New Roman" w:eastAsia="仿宋"/>
          <w:color w:val="000000" w:themeColor="text1"/>
          <w:sz w:val="32"/>
          <w:szCs w:val="32"/>
          <w14:textFill>
            <w14:solidFill>
              <w14:schemeClr w14:val="tx1"/>
            </w14:solidFill>
          </w14:textFill>
        </w:rPr>
        <w:t>产品同质化现象严重，导致市场的良性发展难以保证；三是受限于行业技术人才资源不足，全市预拌混凝土企业试验室技术人员紧缺问题较为突出，同时试验室检验及管理能力仍需提高</w:t>
      </w:r>
      <w:r>
        <w:rPr>
          <w:rFonts w:hint="eastAsia" w:ascii="Times New Roman" w:hAnsi="Times New Roman" w:eastAsia="仿宋"/>
          <w:color w:val="000000" w:themeColor="text1"/>
          <w:sz w:val="32"/>
          <w:szCs w:val="32"/>
          <w14:textFill>
            <w14:solidFill>
              <w14:schemeClr w14:val="tx1"/>
            </w14:solidFill>
          </w14:textFill>
        </w:rPr>
        <w:t>，</w:t>
      </w:r>
      <w:r>
        <w:rPr>
          <w:rFonts w:hint="eastAsia" w:ascii="Times New Roman" w:hAnsi="Times New Roman" w:eastAsia="仿宋"/>
          <w:color w:val="FF0000"/>
          <w:sz w:val="32"/>
          <w:szCs w:val="32"/>
        </w:rPr>
        <w:t>全市预拌混凝土试验室合格率低于全区平均水平。</w:t>
      </w:r>
      <w:r>
        <w:rPr>
          <w:rFonts w:hint="eastAsia" w:ascii="Times New Roman" w:hAnsi="Times New Roman" w:eastAsia="仿宋"/>
          <w:color w:val="000000" w:themeColor="text1"/>
          <w:sz w:val="32"/>
          <w:szCs w:val="32"/>
          <w14:textFill>
            <w14:solidFill>
              <w14:schemeClr w14:val="tx1"/>
            </w14:solidFill>
          </w14:textFill>
        </w:rPr>
        <w:t>自治区范围开展的预拌混凝土产品质量监督抽查结果显示，钦州市仍有企业产品质量未达标</w:t>
      </w:r>
      <w:r>
        <w:rPr>
          <w:rFonts w:ascii="Times New Roman" w:hAnsi="Times New Roman" w:eastAsia="仿宋"/>
          <w:color w:val="000000" w:themeColor="text1"/>
          <w:sz w:val="32"/>
          <w:szCs w:val="32"/>
          <w14:textFill>
            <w14:solidFill>
              <w14:schemeClr w14:val="tx1"/>
            </w14:solidFill>
          </w14:textFill>
        </w:rPr>
        <w:t>。</w:t>
      </w:r>
    </w:p>
    <w:p>
      <w:pPr>
        <w:spacing w:line="360" w:lineRule="auto"/>
        <w:ind w:firstLine="643" w:firstLineChars="200"/>
        <w:outlineLvl w:val="2"/>
        <w:rPr>
          <w:rFonts w:ascii="Times New Roman" w:hAnsi="Times New Roman" w:eastAsia="楷体"/>
          <w:b/>
          <w:color w:val="000000" w:themeColor="text1"/>
          <w:sz w:val="32"/>
          <w:szCs w:val="32"/>
          <w14:textFill>
            <w14:solidFill>
              <w14:schemeClr w14:val="tx1"/>
            </w14:solidFill>
          </w14:textFill>
        </w:rPr>
      </w:pPr>
      <w:r>
        <w:rPr>
          <w:rFonts w:ascii="Times New Roman" w:hAnsi="Times New Roman" w:eastAsia="楷体"/>
          <w:b/>
          <w:color w:val="000000" w:themeColor="text1"/>
          <w:sz w:val="32"/>
          <w:szCs w:val="32"/>
          <w14:textFill>
            <w14:solidFill>
              <w14:schemeClr w14:val="tx1"/>
            </w14:solidFill>
          </w14:textFill>
        </w:rPr>
        <w:t>（三）预拌砂浆推广应用进度缓慢</w:t>
      </w:r>
    </w:p>
    <w:p>
      <w:pPr>
        <w:pStyle w:val="2"/>
        <w:ind w:left="0" w:firstLine="640" w:firstLineChars="200"/>
        <w:rPr>
          <w:rFonts w:ascii="Times New Roman" w:hAnsi="Times New Roman" w:eastAsia="仿宋"/>
          <w:color w:val="000000" w:themeColor="text1"/>
          <w:sz w:val="32"/>
          <w:szCs w:val="32"/>
          <w14:textFill>
            <w14:solidFill>
              <w14:schemeClr w14:val="tx1"/>
            </w14:solidFill>
          </w14:textFill>
        </w:rPr>
      </w:pPr>
      <w:r>
        <w:rPr>
          <w:rFonts w:ascii="Times New Roman" w:hAnsi="Times New Roman" w:eastAsia="仿宋"/>
          <w:color w:val="000000" w:themeColor="text1"/>
          <w:sz w:val="32"/>
          <w:szCs w:val="32"/>
          <w14:textFill>
            <w14:solidFill>
              <w14:schemeClr w14:val="tx1"/>
            </w14:solidFill>
          </w14:textFill>
        </w:rPr>
        <w:t>一是行业缺乏政策指引，</w:t>
      </w:r>
      <w:r>
        <w:rPr>
          <w:rFonts w:ascii="Times New Roman" w:hAnsi="Times New Roman" w:eastAsia="仿宋"/>
          <w:color w:val="FF0000"/>
          <w:sz w:val="32"/>
          <w:szCs w:val="32"/>
        </w:rPr>
        <w:t>目前钦州市暂未出台</w:t>
      </w:r>
      <w:r>
        <w:rPr>
          <w:rFonts w:hint="eastAsia" w:ascii="Times New Roman" w:hAnsi="Times New Roman" w:eastAsia="仿宋"/>
          <w:color w:val="FF0000"/>
          <w:sz w:val="32"/>
          <w:szCs w:val="32"/>
          <w:lang w:eastAsia="zh-CN"/>
        </w:rPr>
        <w:t>“</w:t>
      </w:r>
      <w:r>
        <w:rPr>
          <w:rFonts w:hint="eastAsia" w:ascii="Times New Roman" w:hAnsi="Times New Roman" w:eastAsia="仿宋"/>
          <w:color w:val="FF0000"/>
          <w:sz w:val="32"/>
          <w:szCs w:val="32"/>
          <w:lang w:val="en-US" w:eastAsia="zh-CN"/>
        </w:rPr>
        <w:t>禁现”</w:t>
      </w:r>
      <w:r>
        <w:rPr>
          <w:rFonts w:ascii="Times New Roman" w:hAnsi="Times New Roman" w:eastAsia="仿宋"/>
          <w:color w:val="FF0000"/>
          <w:sz w:val="32"/>
          <w:szCs w:val="32"/>
        </w:rPr>
        <w:t>政策措施</w:t>
      </w:r>
      <w:r>
        <w:rPr>
          <w:rFonts w:ascii="Times New Roman" w:hAnsi="Times New Roman" w:eastAsia="仿宋"/>
          <w:color w:val="000000" w:themeColor="text1"/>
          <w:sz w:val="32"/>
          <w:szCs w:val="32"/>
          <w14:textFill>
            <w14:solidFill>
              <w14:schemeClr w14:val="tx1"/>
            </w14:solidFill>
          </w14:textFill>
        </w:rPr>
        <w:t>，行政监管力度难以发挥，在规范化管理方面与区内其他城市差距进一步拉大；二是钦州市本地市场尚未完全打</w:t>
      </w:r>
      <w:r>
        <w:rPr>
          <w:rFonts w:hint="eastAsia" w:ascii="Times New Roman" w:hAnsi="Times New Roman" w:eastAsia="仿宋"/>
          <w:color w:val="000000" w:themeColor="text1"/>
          <w:sz w:val="32"/>
          <w:szCs w:val="32"/>
          <w14:textFill>
            <w14:solidFill>
              <w14:schemeClr w14:val="tx1"/>
            </w14:solidFill>
          </w14:textFill>
        </w:rPr>
        <w:t>开，同时存在区域发展不平衡，城乡差距大的问题</w:t>
      </w:r>
      <w:r>
        <w:rPr>
          <w:rFonts w:ascii="Times New Roman" w:hAnsi="Times New Roman" w:eastAsia="仿宋"/>
          <w:color w:val="000000" w:themeColor="text1"/>
          <w:sz w:val="32"/>
          <w:szCs w:val="32"/>
          <w14:textFill>
            <w14:solidFill>
              <w14:schemeClr w14:val="tx1"/>
            </w14:solidFill>
          </w14:textFill>
        </w:rPr>
        <w:t>；三是行业技术人员短缺，尤其在物流配送、施工机具、配套材料、施工工艺等方面缺乏专业技术人才，在生产管理、成本核算、资源综合利用、现场施工管理等方面人才储备不足等，在一定程度上影响了预拌砂浆的推广和应用。</w:t>
      </w:r>
    </w:p>
    <w:p>
      <w:pPr>
        <w:spacing w:line="360" w:lineRule="auto"/>
        <w:ind w:firstLine="643" w:firstLineChars="200"/>
        <w:outlineLvl w:val="2"/>
        <w:rPr>
          <w:rFonts w:ascii="Times New Roman" w:hAnsi="Times New Roman" w:eastAsia="楷体"/>
          <w:b/>
          <w:color w:val="000000" w:themeColor="text1"/>
          <w:sz w:val="32"/>
          <w:szCs w:val="32"/>
          <w14:textFill>
            <w14:solidFill>
              <w14:schemeClr w14:val="tx1"/>
            </w14:solidFill>
          </w14:textFill>
        </w:rPr>
      </w:pPr>
      <w:r>
        <w:rPr>
          <w:rFonts w:ascii="Times New Roman" w:hAnsi="Times New Roman" w:eastAsia="楷体"/>
          <w:b/>
          <w:color w:val="000000" w:themeColor="text1"/>
          <w:sz w:val="32"/>
          <w:szCs w:val="32"/>
          <w14:textFill>
            <w14:solidFill>
              <w14:schemeClr w14:val="tx1"/>
            </w14:solidFill>
          </w14:textFill>
        </w:rPr>
        <w:t>（四）绿色发展水平亟需提高</w:t>
      </w:r>
    </w:p>
    <w:p>
      <w:pPr>
        <w:pStyle w:val="2"/>
        <w:ind w:left="0" w:firstLine="640" w:firstLineChars="200"/>
        <w:rPr>
          <w:rFonts w:ascii="Times New Roman" w:hAnsi="Times New Roman" w:eastAsia="仿宋"/>
          <w:color w:val="000000" w:themeColor="text1"/>
          <w:sz w:val="32"/>
          <w:szCs w:val="32"/>
          <w14:textFill>
            <w14:solidFill>
              <w14:schemeClr w14:val="tx1"/>
            </w14:solidFill>
          </w14:textFill>
        </w:rPr>
      </w:pPr>
      <w:r>
        <w:rPr>
          <w:rFonts w:ascii="Times New Roman" w:hAnsi="Times New Roman" w:eastAsia="仿宋"/>
          <w:color w:val="000000" w:themeColor="text1"/>
          <w:sz w:val="32"/>
          <w:szCs w:val="32"/>
          <w14:textFill>
            <w14:solidFill>
              <w14:schemeClr w14:val="tx1"/>
            </w14:solidFill>
          </w14:textFill>
        </w:rPr>
        <w:t>由于缺乏相关政策的引导和推动，</w:t>
      </w:r>
      <w:r>
        <w:rPr>
          <w:rFonts w:hint="eastAsia" w:ascii="Times New Roman" w:hAnsi="Times New Roman" w:eastAsia="仿宋"/>
          <w:color w:val="000000" w:themeColor="text1"/>
          <w:sz w:val="32"/>
          <w:szCs w:val="32"/>
          <w14:textFill>
            <w14:solidFill>
              <w14:schemeClr w14:val="tx1"/>
            </w14:solidFill>
          </w14:textFill>
        </w:rPr>
        <w:t>“</w:t>
      </w:r>
      <w:r>
        <w:rPr>
          <w:rFonts w:ascii="Times New Roman" w:hAnsi="Times New Roman" w:eastAsia="仿宋"/>
          <w:color w:val="000000" w:themeColor="text1"/>
          <w:sz w:val="32"/>
          <w:szCs w:val="32"/>
          <w14:textFill>
            <w14:solidFill>
              <w14:schemeClr w14:val="tx1"/>
            </w14:solidFill>
          </w14:textFill>
        </w:rPr>
        <w:t>十三五</w:t>
      </w:r>
      <w:r>
        <w:rPr>
          <w:rFonts w:hint="eastAsia" w:ascii="Times New Roman" w:hAnsi="Times New Roman" w:eastAsia="仿宋"/>
          <w:color w:val="000000" w:themeColor="text1"/>
          <w:sz w:val="32"/>
          <w:szCs w:val="32"/>
          <w14:textFill>
            <w14:solidFill>
              <w14:schemeClr w14:val="tx1"/>
            </w14:solidFill>
          </w14:textFill>
        </w:rPr>
        <w:t>”</w:t>
      </w:r>
      <w:r>
        <w:rPr>
          <w:rFonts w:ascii="Times New Roman" w:hAnsi="Times New Roman" w:eastAsia="仿宋"/>
          <w:color w:val="000000" w:themeColor="text1"/>
          <w:sz w:val="32"/>
          <w:szCs w:val="32"/>
          <w14:textFill>
            <w14:solidFill>
              <w14:schemeClr w14:val="tx1"/>
            </w14:solidFill>
          </w14:textFill>
        </w:rPr>
        <w:t>期间</w:t>
      </w:r>
      <w:r>
        <w:rPr>
          <w:rFonts w:hint="eastAsia" w:ascii="Times New Roman" w:hAnsi="Times New Roman" w:eastAsia="仿宋"/>
          <w:color w:val="000000" w:themeColor="text1"/>
          <w:sz w:val="32"/>
          <w:szCs w:val="32"/>
          <w14:textFill>
            <w14:solidFill>
              <w14:schemeClr w14:val="tx1"/>
            </w14:solidFill>
          </w14:textFill>
        </w:rPr>
        <w:t>全</w:t>
      </w:r>
      <w:r>
        <w:rPr>
          <w:rFonts w:ascii="Times New Roman" w:hAnsi="Times New Roman" w:eastAsia="仿宋"/>
          <w:color w:val="000000" w:themeColor="text1"/>
          <w:sz w:val="32"/>
          <w:szCs w:val="32"/>
          <w14:textFill>
            <w14:solidFill>
              <w14:schemeClr w14:val="tx1"/>
            </w14:solidFill>
          </w14:textFill>
        </w:rPr>
        <w:t>市预拌混凝土绿色评价、清洁化生产改造等工作推进较慢，企业自愿增加投入开展绿色生产改造的积极性不高，预拌混凝土生产企业绿色生产评价进展缓慢，尚未完成《广西散装水泥、预拌混凝土、预拌砂浆发展</w:t>
      </w:r>
      <w:r>
        <w:rPr>
          <w:rFonts w:hint="eastAsia" w:ascii="Times New Roman" w:hAnsi="Times New Roman" w:eastAsia="仿宋"/>
          <w:color w:val="000000" w:themeColor="text1"/>
          <w:sz w:val="32"/>
          <w:szCs w:val="32"/>
          <w14:textFill>
            <w14:solidFill>
              <w14:schemeClr w14:val="tx1"/>
            </w14:solidFill>
          </w14:textFill>
        </w:rPr>
        <w:t>“</w:t>
      </w:r>
      <w:r>
        <w:rPr>
          <w:rFonts w:ascii="Times New Roman" w:hAnsi="Times New Roman" w:eastAsia="仿宋"/>
          <w:color w:val="000000" w:themeColor="text1"/>
          <w:sz w:val="32"/>
          <w:szCs w:val="32"/>
          <w14:textFill>
            <w14:solidFill>
              <w14:schemeClr w14:val="tx1"/>
            </w14:solidFill>
          </w14:textFill>
        </w:rPr>
        <w:t>十三五</w:t>
      </w:r>
      <w:r>
        <w:rPr>
          <w:rFonts w:hint="eastAsia" w:ascii="Times New Roman" w:hAnsi="Times New Roman" w:eastAsia="仿宋"/>
          <w:color w:val="000000" w:themeColor="text1"/>
          <w:sz w:val="32"/>
          <w:szCs w:val="32"/>
          <w14:textFill>
            <w14:solidFill>
              <w14:schemeClr w14:val="tx1"/>
            </w14:solidFill>
          </w14:textFill>
        </w:rPr>
        <w:t>”</w:t>
      </w:r>
      <w:r>
        <w:rPr>
          <w:rFonts w:ascii="Times New Roman" w:hAnsi="Times New Roman" w:eastAsia="仿宋"/>
          <w:color w:val="000000" w:themeColor="text1"/>
          <w:sz w:val="32"/>
          <w:szCs w:val="32"/>
          <w14:textFill>
            <w14:solidFill>
              <w14:schemeClr w14:val="tx1"/>
            </w14:solidFill>
          </w14:textFill>
        </w:rPr>
        <w:t>规划》提出的预拌混凝土绿色发展目标。目前实现绿色生产和已完成清洁化生产改造的企业占比较低，固废综合利用水平较低</w:t>
      </w:r>
      <w:r>
        <w:rPr>
          <w:rFonts w:hint="eastAsia" w:ascii="Times New Roman" w:hAnsi="Times New Roman" w:eastAsia="仿宋"/>
          <w:color w:val="000000" w:themeColor="text1"/>
          <w:sz w:val="32"/>
          <w:szCs w:val="32"/>
          <w14:textFill>
            <w14:solidFill>
              <w14:schemeClr w14:val="tx1"/>
            </w14:solidFill>
          </w14:textFill>
        </w:rPr>
        <w:t>。预拌混凝土、预拌砂浆产品尚未开展绿色建材评价，产品市场竞争力不高。</w:t>
      </w:r>
    </w:p>
    <w:p>
      <w:pPr>
        <w:numPr>
          <w:ilvl w:val="0"/>
          <w:numId w:val="1"/>
        </w:numPr>
        <w:spacing w:line="360" w:lineRule="auto"/>
        <w:ind w:firstLine="643" w:firstLineChars="200"/>
        <w:outlineLvl w:val="2"/>
        <w:rPr>
          <w:rFonts w:ascii="Times New Roman" w:hAnsi="Times New Roman" w:eastAsia="楷体"/>
          <w:b/>
          <w:color w:val="000000" w:themeColor="text1"/>
          <w:sz w:val="32"/>
          <w:szCs w:val="32"/>
          <w14:textFill>
            <w14:solidFill>
              <w14:schemeClr w14:val="tx1"/>
            </w14:solidFill>
          </w14:textFill>
        </w:rPr>
      </w:pPr>
      <w:r>
        <w:rPr>
          <w:rFonts w:hint="eastAsia" w:ascii="Times New Roman" w:hAnsi="Times New Roman" w:eastAsia="楷体"/>
          <w:b/>
          <w:color w:val="000000" w:themeColor="text1"/>
          <w:sz w:val="32"/>
          <w:szCs w:val="32"/>
          <w14:textFill>
            <w14:solidFill>
              <w14:schemeClr w14:val="tx1"/>
            </w14:solidFill>
          </w14:textFill>
        </w:rPr>
        <w:t>行业发展缺乏</w:t>
      </w:r>
      <w:r>
        <w:rPr>
          <w:rFonts w:hint="eastAsia" w:ascii="Times New Roman" w:hAnsi="Times New Roman" w:eastAsia="楷体"/>
          <w:b/>
          <w:color w:val="FF0000"/>
          <w:sz w:val="32"/>
          <w:szCs w:val="32"/>
        </w:rPr>
        <w:t>协作</w:t>
      </w:r>
      <w:r>
        <w:rPr>
          <w:rFonts w:hint="eastAsia" w:ascii="Times New Roman" w:hAnsi="Times New Roman" w:eastAsia="楷体"/>
          <w:b/>
          <w:color w:val="000000" w:themeColor="text1"/>
          <w:sz w:val="32"/>
          <w:szCs w:val="32"/>
          <w14:textFill>
            <w14:solidFill>
              <w14:schemeClr w14:val="tx1"/>
            </w14:solidFill>
          </w14:textFill>
        </w:rPr>
        <w:t>和创新</w:t>
      </w:r>
    </w:p>
    <w:p>
      <w:pPr>
        <w:spacing w:line="360" w:lineRule="auto"/>
        <w:ind w:firstLine="640" w:firstLineChars="200"/>
        <w:rPr>
          <w:rFonts w:ascii="Times New Roman" w:hAnsi="Times New Roman" w:eastAsia="仿宋"/>
          <w:color w:val="000000" w:themeColor="text1"/>
          <w:sz w:val="32"/>
          <w:szCs w:val="32"/>
          <w14:textFill>
            <w14:solidFill>
              <w14:schemeClr w14:val="tx1"/>
            </w14:solidFill>
          </w14:textFill>
        </w:rPr>
      </w:pPr>
      <w:r>
        <w:rPr>
          <w:rFonts w:hint="eastAsia" w:ascii="Times New Roman" w:hAnsi="Times New Roman" w:eastAsia="仿宋"/>
          <w:color w:val="000000" w:themeColor="text1"/>
          <w:sz w:val="32"/>
          <w:szCs w:val="32"/>
          <w14:textFill>
            <w14:solidFill>
              <w14:schemeClr w14:val="tx1"/>
            </w14:solidFill>
          </w14:textFill>
        </w:rPr>
        <w:t>一是尚未建立下游水泥制品和特种砂浆等产业的行业管理体系，市场秩序有待规范，行业集中度低；二是散装水泥行业企业多为地方性中小企业，产业链短，关联产业间相互</w:t>
      </w:r>
      <w:r>
        <w:rPr>
          <w:rFonts w:hint="eastAsia" w:ascii="Times New Roman" w:hAnsi="Times New Roman" w:eastAsia="仿宋"/>
          <w:color w:val="FF0000"/>
          <w:sz w:val="32"/>
          <w:szCs w:val="32"/>
        </w:rPr>
        <w:t>协作</w:t>
      </w:r>
      <w:r>
        <w:rPr>
          <w:rFonts w:hint="eastAsia" w:ascii="Times New Roman" w:hAnsi="Times New Roman" w:eastAsia="仿宋"/>
          <w:color w:val="000000" w:themeColor="text1"/>
          <w:sz w:val="32"/>
          <w:szCs w:val="32"/>
          <w14:textFill>
            <w14:solidFill>
              <w14:schemeClr w14:val="tx1"/>
            </w14:solidFill>
          </w14:textFill>
        </w:rPr>
        <w:t>的发展模式尚未形成，相关需求与知识技能的沟通不足，供需不匹配、不协调、不平衡，导致目前行业产品同质化、中低端产品占比大、高端产品缺失等现象突出；三</w:t>
      </w:r>
      <w:r>
        <w:rPr>
          <w:rFonts w:ascii="Times New Roman" w:hAnsi="Times New Roman" w:eastAsia="仿宋"/>
          <w:color w:val="000000" w:themeColor="text1"/>
          <w:sz w:val="32"/>
          <w:szCs w:val="32"/>
          <w14:textFill>
            <w14:solidFill>
              <w14:schemeClr w14:val="tx1"/>
            </w14:solidFill>
          </w14:textFill>
        </w:rPr>
        <w:t>是以企业为主体的技术创新体系不完善，产学研结合不够紧密，专业人才普遍缺乏，技术开发投入不足，装备系列化、标准化水平不高，行业创新为行业高质量发展提供的动力不足。</w:t>
      </w:r>
    </w:p>
    <w:p>
      <w:pPr>
        <w:spacing w:line="360" w:lineRule="auto"/>
        <w:ind w:firstLine="643" w:firstLineChars="200"/>
        <w:outlineLvl w:val="2"/>
        <w:rPr>
          <w:rFonts w:ascii="Times New Roman" w:hAnsi="Times New Roman" w:eastAsia="楷体"/>
          <w:b/>
          <w:color w:val="000000" w:themeColor="text1"/>
          <w:sz w:val="32"/>
          <w:szCs w:val="32"/>
          <w14:textFill>
            <w14:solidFill>
              <w14:schemeClr w14:val="tx1"/>
            </w14:solidFill>
          </w14:textFill>
        </w:rPr>
      </w:pPr>
      <w:r>
        <w:rPr>
          <w:rFonts w:ascii="Times New Roman" w:hAnsi="Times New Roman" w:eastAsia="楷体"/>
          <w:b/>
          <w:color w:val="000000" w:themeColor="text1"/>
          <w:sz w:val="32"/>
          <w:szCs w:val="32"/>
          <w14:textFill>
            <w14:solidFill>
              <w14:schemeClr w14:val="tx1"/>
            </w14:solidFill>
          </w14:textFill>
        </w:rPr>
        <w:t>（</w:t>
      </w:r>
      <w:r>
        <w:rPr>
          <w:rFonts w:hint="eastAsia" w:ascii="Times New Roman" w:hAnsi="Times New Roman" w:eastAsia="楷体"/>
          <w:b/>
          <w:color w:val="000000" w:themeColor="text1"/>
          <w:sz w:val="32"/>
          <w:szCs w:val="32"/>
          <w14:textFill>
            <w14:solidFill>
              <w14:schemeClr w14:val="tx1"/>
            </w14:solidFill>
          </w14:textFill>
        </w:rPr>
        <w:t>六</w:t>
      </w:r>
      <w:r>
        <w:rPr>
          <w:rFonts w:ascii="Times New Roman" w:hAnsi="Times New Roman" w:eastAsia="楷体"/>
          <w:b/>
          <w:color w:val="000000" w:themeColor="text1"/>
          <w:sz w:val="32"/>
          <w:szCs w:val="32"/>
          <w14:textFill>
            <w14:solidFill>
              <w14:schemeClr w14:val="tx1"/>
            </w14:solidFill>
          </w14:textFill>
        </w:rPr>
        <w:t>）行业监管体系建设仍需完善</w:t>
      </w:r>
    </w:p>
    <w:p>
      <w:pPr>
        <w:spacing w:line="360" w:lineRule="auto"/>
        <w:ind w:firstLine="640" w:firstLineChars="200"/>
        <w:rPr>
          <w:rFonts w:ascii="Times New Roman" w:hAnsi="Times New Roman" w:eastAsia="仿宋"/>
          <w:b/>
          <w:color w:val="000000" w:themeColor="text1"/>
          <w:sz w:val="32"/>
          <w:szCs w:val="32"/>
          <w14:textFill>
            <w14:solidFill>
              <w14:schemeClr w14:val="tx1"/>
            </w14:solidFill>
          </w14:textFill>
        </w:rPr>
      </w:pPr>
      <w:r>
        <w:rPr>
          <w:rFonts w:ascii="Times New Roman" w:hAnsi="Times New Roman" w:eastAsia="仿宋"/>
          <w:color w:val="000000" w:themeColor="text1"/>
          <w:sz w:val="32"/>
          <w:szCs w:val="32"/>
          <w14:textFill>
            <w14:solidFill>
              <w14:schemeClr w14:val="tx1"/>
            </w14:solidFill>
          </w14:textFill>
        </w:rPr>
        <w:t>目前钦州市暂未出台预拌混凝土行业相关政策规划措施，在行业布局管理、遏制产能无限扩张、维护预拌混凝土市场秩序、保障预拌混凝土生产安全、提升环保及产品质量等方面，缺乏长效管理机制；另外全市尚未建立</w:t>
      </w:r>
      <w:r>
        <w:rPr>
          <w:rFonts w:hint="eastAsia" w:ascii="Times New Roman" w:hAnsi="Times New Roman" w:eastAsia="仿宋"/>
          <w:color w:val="000000" w:themeColor="text1"/>
          <w:sz w:val="32"/>
          <w:szCs w:val="32"/>
          <w14:textFill>
            <w14:solidFill>
              <w14:schemeClr w14:val="tx1"/>
            </w14:solidFill>
          </w14:textFill>
        </w:rPr>
        <w:t>健全的</w:t>
      </w:r>
      <w:r>
        <w:rPr>
          <w:rFonts w:ascii="Times New Roman" w:hAnsi="Times New Roman" w:eastAsia="仿宋"/>
          <w:color w:val="000000" w:themeColor="text1"/>
          <w:sz w:val="32"/>
          <w:szCs w:val="32"/>
          <w14:textFill>
            <w14:solidFill>
              <w14:schemeClr w14:val="tx1"/>
            </w14:solidFill>
          </w14:textFill>
        </w:rPr>
        <w:t>预拌砂浆和水泥制品发展的管理机制，不利于未来几年推动行业高质量发展。</w:t>
      </w:r>
    </w:p>
    <w:p>
      <w:pPr>
        <w:rPr>
          <w:rFonts w:ascii="Times New Roman" w:hAnsi="Times New Roman"/>
          <w:color w:val="000000" w:themeColor="text1"/>
          <w:sz w:val="32"/>
          <w:szCs w:val="32"/>
          <w14:textFill>
            <w14:solidFill>
              <w14:schemeClr w14:val="tx1"/>
            </w14:solidFill>
          </w14:textFill>
        </w:rPr>
        <w:sectPr>
          <w:pgSz w:w="11906" w:h="16838"/>
          <w:pgMar w:top="1440" w:right="1800" w:bottom="1440" w:left="1800" w:header="851" w:footer="992" w:gutter="0"/>
          <w:cols w:space="425" w:num="1"/>
          <w:docGrid w:type="lines" w:linePitch="312" w:charSpace="0"/>
        </w:sectPr>
      </w:pPr>
    </w:p>
    <w:p>
      <w:pPr>
        <w:pStyle w:val="2"/>
        <w:ind w:left="0"/>
        <w:jc w:val="center"/>
        <w:outlineLvl w:val="0"/>
        <w:rPr>
          <w:rFonts w:ascii="Times New Roman" w:hAnsi="Times New Roman" w:eastAsia="黑体"/>
          <w:color w:val="000000" w:themeColor="text1"/>
          <w:kern w:val="0"/>
          <w:sz w:val="36"/>
          <w:szCs w:val="36"/>
          <w:lang w:bidi="ar"/>
          <w14:textFill>
            <w14:solidFill>
              <w14:schemeClr w14:val="tx1"/>
            </w14:solidFill>
          </w14:textFill>
        </w:rPr>
      </w:pPr>
      <w:bookmarkStart w:id="35" w:name="_Toc25064"/>
      <w:bookmarkStart w:id="36" w:name="_Toc3114"/>
      <w:bookmarkStart w:id="37" w:name="_Toc17523"/>
      <w:bookmarkStart w:id="38" w:name="_Toc26784"/>
      <w:r>
        <w:rPr>
          <w:rFonts w:ascii="Times New Roman" w:hAnsi="Times New Roman" w:eastAsia="黑体"/>
          <w:color w:val="000000" w:themeColor="text1"/>
          <w:kern w:val="0"/>
          <w:sz w:val="36"/>
          <w:szCs w:val="36"/>
          <w:lang w:bidi="ar"/>
          <w14:textFill>
            <w14:solidFill>
              <w14:schemeClr w14:val="tx1"/>
            </w14:solidFill>
          </w14:textFill>
        </w:rPr>
        <w:t>第二章</w:t>
      </w:r>
      <w:r>
        <w:rPr>
          <w:rFonts w:hint="eastAsia" w:ascii="Times New Roman" w:hAnsi="Times New Roman" w:eastAsia="黑体"/>
          <w:color w:val="000000" w:themeColor="text1"/>
          <w:kern w:val="0"/>
          <w:sz w:val="36"/>
          <w:szCs w:val="36"/>
          <w:lang w:bidi="ar"/>
          <w14:textFill>
            <w14:solidFill>
              <w14:schemeClr w14:val="tx1"/>
            </w14:solidFill>
          </w14:textFill>
        </w:rPr>
        <w:t xml:space="preserve">  </w:t>
      </w:r>
      <w:r>
        <w:rPr>
          <w:rFonts w:ascii="Times New Roman" w:hAnsi="Times New Roman" w:eastAsia="黑体"/>
          <w:color w:val="000000" w:themeColor="text1"/>
          <w:kern w:val="0"/>
          <w:sz w:val="36"/>
          <w:szCs w:val="36"/>
          <w:lang w:bidi="ar"/>
          <w14:textFill>
            <w14:solidFill>
              <w14:schemeClr w14:val="tx1"/>
            </w14:solidFill>
          </w14:textFill>
        </w:rPr>
        <w:t>发展环境</w:t>
      </w:r>
      <w:bookmarkEnd w:id="35"/>
      <w:bookmarkEnd w:id="36"/>
      <w:bookmarkEnd w:id="37"/>
      <w:bookmarkEnd w:id="38"/>
    </w:p>
    <w:p>
      <w:pPr>
        <w:keepNext/>
        <w:keepLines/>
        <w:adjustRightInd w:val="0"/>
        <w:snapToGrid w:val="0"/>
        <w:spacing w:line="360" w:lineRule="auto"/>
        <w:ind w:firstLine="640" w:firstLineChars="200"/>
        <w:outlineLvl w:val="1"/>
        <w:rPr>
          <w:rFonts w:ascii="Times New Roman" w:hAnsi="Times New Roman" w:eastAsia="黑体"/>
          <w:bCs/>
          <w:color w:val="000000" w:themeColor="text1"/>
          <w:sz w:val="32"/>
          <w:szCs w:val="32"/>
          <w14:textFill>
            <w14:solidFill>
              <w14:schemeClr w14:val="tx1"/>
            </w14:solidFill>
          </w14:textFill>
        </w:rPr>
      </w:pPr>
      <w:bookmarkStart w:id="39" w:name="_Toc32284"/>
      <w:bookmarkStart w:id="40" w:name="_Toc27034"/>
      <w:bookmarkStart w:id="41" w:name="_Toc15400"/>
      <w:bookmarkStart w:id="42" w:name="_Toc30446"/>
      <w:r>
        <w:rPr>
          <w:rFonts w:ascii="Times New Roman" w:hAnsi="Times New Roman" w:eastAsia="黑体"/>
          <w:bCs/>
          <w:color w:val="000000" w:themeColor="text1"/>
          <w:sz w:val="32"/>
          <w:szCs w:val="32"/>
          <w14:textFill>
            <w14:solidFill>
              <w14:schemeClr w14:val="tx1"/>
            </w14:solidFill>
          </w14:textFill>
        </w:rPr>
        <w:t>一、发展形势</w:t>
      </w:r>
      <w:bookmarkEnd w:id="39"/>
      <w:bookmarkEnd w:id="40"/>
      <w:bookmarkEnd w:id="41"/>
      <w:bookmarkEnd w:id="42"/>
    </w:p>
    <w:p>
      <w:pPr>
        <w:pStyle w:val="2"/>
        <w:ind w:left="0" w:firstLine="640" w:firstLineChars="200"/>
        <w:rPr>
          <w:rFonts w:ascii="Times New Roman" w:hAnsi="Times New Roman" w:eastAsia="仿宋"/>
          <w:color w:val="000000" w:themeColor="text1"/>
          <w:sz w:val="32"/>
          <w:szCs w:val="32"/>
          <w14:textFill>
            <w14:solidFill>
              <w14:schemeClr w14:val="tx1"/>
            </w14:solidFill>
          </w14:textFill>
        </w:rPr>
      </w:pPr>
      <w:r>
        <w:rPr>
          <w:rFonts w:hint="eastAsia" w:ascii="Times New Roman" w:hAnsi="Times New Roman" w:eastAsia="仿宋"/>
          <w:color w:val="000000" w:themeColor="text1"/>
          <w:sz w:val="32"/>
          <w:szCs w:val="32"/>
          <w14:textFill>
            <w14:solidFill>
              <w14:schemeClr w14:val="tx1"/>
            </w14:solidFill>
          </w14:textFill>
        </w:rPr>
        <w:t>“</w:t>
      </w:r>
      <w:r>
        <w:rPr>
          <w:rFonts w:ascii="Times New Roman" w:hAnsi="Times New Roman" w:eastAsia="仿宋"/>
          <w:color w:val="000000" w:themeColor="text1"/>
          <w:sz w:val="32"/>
          <w:szCs w:val="32"/>
          <w14:textFill>
            <w14:solidFill>
              <w14:schemeClr w14:val="tx1"/>
            </w14:solidFill>
          </w14:textFill>
        </w:rPr>
        <w:t>十四五</w:t>
      </w:r>
      <w:r>
        <w:rPr>
          <w:rFonts w:hint="eastAsia" w:ascii="Times New Roman" w:hAnsi="Times New Roman" w:eastAsia="仿宋"/>
          <w:color w:val="000000" w:themeColor="text1"/>
          <w:sz w:val="32"/>
          <w:szCs w:val="32"/>
          <w14:textFill>
            <w14:solidFill>
              <w14:schemeClr w14:val="tx1"/>
            </w14:solidFill>
          </w14:textFill>
        </w:rPr>
        <w:t>”</w:t>
      </w:r>
      <w:r>
        <w:rPr>
          <w:rFonts w:ascii="Times New Roman" w:hAnsi="Times New Roman" w:eastAsia="仿宋"/>
          <w:color w:val="000000" w:themeColor="text1"/>
          <w:sz w:val="32"/>
          <w:szCs w:val="32"/>
          <w14:textFill>
            <w14:solidFill>
              <w14:schemeClr w14:val="tx1"/>
            </w14:solidFill>
          </w14:textFill>
        </w:rPr>
        <w:t>时期，钦州市发展仍处于大有作为的重要战略机遇期。从国内看，我国进入新发展阶段，立足中华民族伟大复兴战略全局、世界百年未有之大变局</w:t>
      </w:r>
      <w:r>
        <w:rPr>
          <w:rFonts w:hint="eastAsia" w:ascii="Times New Roman" w:hAnsi="Times New Roman" w:eastAsia="仿宋"/>
          <w:color w:val="000000" w:themeColor="text1"/>
          <w:sz w:val="32"/>
          <w:szCs w:val="32"/>
          <w14:textFill>
            <w14:solidFill>
              <w14:schemeClr w14:val="tx1"/>
            </w14:solidFill>
          </w14:textFill>
        </w:rPr>
        <w:t>“</w:t>
      </w:r>
      <w:r>
        <w:rPr>
          <w:rFonts w:ascii="Times New Roman" w:hAnsi="Times New Roman" w:eastAsia="仿宋"/>
          <w:color w:val="000000" w:themeColor="text1"/>
          <w:sz w:val="32"/>
          <w:szCs w:val="32"/>
          <w14:textFill>
            <w14:solidFill>
              <w14:schemeClr w14:val="tx1"/>
            </w14:solidFill>
          </w14:textFill>
        </w:rPr>
        <w:t>两个大局</w:t>
      </w:r>
      <w:r>
        <w:rPr>
          <w:rFonts w:hint="eastAsia" w:ascii="Times New Roman" w:hAnsi="Times New Roman" w:eastAsia="仿宋"/>
          <w:color w:val="000000" w:themeColor="text1"/>
          <w:sz w:val="32"/>
          <w:szCs w:val="32"/>
          <w14:textFill>
            <w14:solidFill>
              <w14:schemeClr w14:val="tx1"/>
            </w14:solidFill>
          </w14:textFill>
        </w:rPr>
        <w:t>”</w:t>
      </w:r>
      <w:r>
        <w:rPr>
          <w:rFonts w:ascii="Times New Roman" w:hAnsi="Times New Roman" w:eastAsia="仿宋"/>
          <w:color w:val="000000" w:themeColor="text1"/>
          <w:sz w:val="32"/>
          <w:szCs w:val="32"/>
          <w14:textFill>
            <w14:solidFill>
              <w14:schemeClr w14:val="tx1"/>
            </w14:solidFill>
          </w14:textFill>
        </w:rPr>
        <w:t>，经济发展将保持强劲活力、韧性、稳定性。从区域经济看，《区域全面经济伙伴关系协定》的签署，新时代推动西部大开发形成新格局、</w:t>
      </w:r>
      <w:r>
        <w:rPr>
          <w:rFonts w:hint="eastAsia" w:ascii="Times New Roman" w:hAnsi="Times New Roman" w:eastAsia="仿宋"/>
          <w:color w:val="000000" w:themeColor="text1"/>
          <w:sz w:val="32"/>
          <w:szCs w:val="32"/>
          <w14:textFill>
            <w14:solidFill>
              <w14:schemeClr w14:val="tx1"/>
            </w14:solidFill>
          </w14:textFill>
        </w:rPr>
        <w:t>西部陆海新通道平陆运河</w:t>
      </w:r>
      <w:r>
        <w:rPr>
          <w:rFonts w:ascii="Times New Roman" w:hAnsi="Times New Roman" w:eastAsia="仿宋"/>
          <w:color w:val="000000" w:themeColor="text1"/>
          <w:sz w:val="32"/>
          <w:szCs w:val="32"/>
          <w14:textFill>
            <w14:solidFill>
              <w14:schemeClr w14:val="tx1"/>
            </w14:solidFill>
          </w14:textFill>
        </w:rPr>
        <w:t>、中国（广西）自由贸易试验区、面向东盟的金融开放门户、中国—东盟信息港等国家战略全面实施。随着这些战略的深入实施，钦州市作为多重战略交汇的陆海枢纽，处于重大战略机遇的叠加期、窗口期，有利于推动区位、交通、港口等优势进一步转化为经济优势、竞争优势，有条件在以面向东盟、服务西南中南西北为重点的国内外开放合作中争创竞争新优势、赢得更多发展先机，衔接</w:t>
      </w:r>
      <w:r>
        <w:rPr>
          <w:rFonts w:hint="eastAsia" w:ascii="Times New Roman" w:hAnsi="Times New Roman" w:eastAsia="仿宋"/>
          <w:color w:val="000000" w:themeColor="text1"/>
          <w:sz w:val="32"/>
          <w:szCs w:val="32"/>
          <w14:textFill>
            <w14:solidFill>
              <w14:schemeClr w14:val="tx1"/>
            </w14:solidFill>
          </w14:textFill>
        </w:rPr>
        <w:t>“</w:t>
      </w:r>
      <w:r>
        <w:rPr>
          <w:rFonts w:ascii="Times New Roman" w:hAnsi="Times New Roman" w:eastAsia="仿宋"/>
          <w:color w:val="000000" w:themeColor="text1"/>
          <w:sz w:val="32"/>
          <w:szCs w:val="32"/>
          <w14:textFill>
            <w14:solidFill>
              <w14:schemeClr w14:val="tx1"/>
            </w14:solidFill>
          </w14:textFill>
        </w:rPr>
        <w:t>一带一路</w:t>
      </w:r>
      <w:r>
        <w:rPr>
          <w:rFonts w:hint="eastAsia" w:ascii="Times New Roman" w:hAnsi="Times New Roman" w:eastAsia="仿宋"/>
          <w:color w:val="000000" w:themeColor="text1"/>
          <w:sz w:val="32"/>
          <w:szCs w:val="32"/>
          <w14:textFill>
            <w14:solidFill>
              <w14:schemeClr w14:val="tx1"/>
            </w14:solidFill>
          </w14:textFill>
        </w:rPr>
        <w:t>”</w:t>
      </w:r>
      <w:r>
        <w:rPr>
          <w:rFonts w:ascii="Times New Roman" w:hAnsi="Times New Roman" w:eastAsia="仿宋"/>
          <w:color w:val="000000" w:themeColor="text1"/>
          <w:sz w:val="32"/>
          <w:szCs w:val="32"/>
          <w14:textFill>
            <w14:solidFill>
              <w14:schemeClr w14:val="tx1"/>
            </w14:solidFill>
          </w14:textFill>
        </w:rPr>
        <w:t>、连接国内国际双循环的枢纽节点作用更加凸显。</w:t>
      </w:r>
      <w:r>
        <w:rPr>
          <w:rFonts w:hint="eastAsia" w:ascii="Times New Roman" w:hAnsi="Times New Roman" w:eastAsia="仿宋"/>
          <w:color w:val="000000" w:themeColor="text1"/>
          <w:sz w:val="32"/>
          <w:szCs w:val="32"/>
          <w14:textFill>
            <w14:solidFill>
              <w14:schemeClr w14:val="tx1"/>
            </w14:solidFill>
          </w14:textFill>
        </w:rPr>
        <w:t>“</w:t>
      </w:r>
      <w:r>
        <w:rPr>
          <w:rFonts w:ascii="Times New Roman" w:hAnsi="Times New Roman" w:eastAsia="仿宋"/>
          <w:color w:val="000000" w:themeColor="text1"/>
          <w:sz w:val="32"/>
          <w:szCs w:val="32"/>
          <w14:textFill>
            <w14:solidFill>
              <w14:schemeClr w14:val="tx1"/>
            </w14:solidFill>
          </w14:textFill>
        </w:rPr>
        <w:t>十四五</w:t>
      </w:r>
      <w:r>
        <w:rPr>
          <w:rFonts w:hint="eastAsia" w:ascii="Times New Roman" w:hAnsi="Times New Roman" w:eastAsia="仿宋"/>
          <w:color w:val="000000" w:themeColor="text1"/>
          <w:sz w:val="32"/>
          <w:szCs w:val="32"/>
          <w14:textFill>
            <w14:solidFill>
              <w14:schemeClr w14:val="tx1"/>
            </w14:solidFill>
          </w14:textFill>
        </w:rPr>
        <w:t>”</w:t>
      </w:r>
      <w:r>
        <w:rPr>
          <w:rFonts w:ascii="Times New Roman" w:hAnsi="Times New Roman" w:eastAsia="仿宋"/>
          <w:color w:val="000000" w:themeColor="text1"/>
          <w:sz w:val="32"/>
          <w:szCs w:val="32"/>
          <w14:textFill>
            <w14:solidFill>
              <w14:schemeClr w14:val="tx1"/>
            </w14:solidFill>
          </w14:textFill>
        </w:rPr>
        <w:t>期间，钦州市高质量发展为全市散装水泥行业的发展提供了更广阔的市场空间和需求保障，同时也对行业发展质量提出了更高的要求。</w:t>
      </w:r>
    </w:p>
    <w:p>
      <w:pPr>
        <w:keepNext/>
        <w:keepLines/>
        <w:adjustRightInd w:val="0"/>
        <w:snapToGrid w:val="0"/>
        <w:spacing w:line="360" w:lineRule="auto"/>
        <w:ind w:firstLine="640" w:firstLineChars="200"/>
        <w:outlineLvl w:val="1"/>
        <w:rPr>
          <w:rFonts w:ascii="Times New Roman" w:hAnsi="Times New Roman" w:eastAsia="黑体"/>
          <w:bCs/>
          <w:color w:val="000000" w:themeColor="text1"/>
          <w:sz w:val="32"/>
          <w:szCs w:val="32"/>
          <w14:textFill>
            <w14:solidFill>
              <w14:schemeClr w14:val="tx1"/>
            </w14:solidFill>
          </w14:textFill>
        </w:rPr>
      </w:pPr>
      <w:bookmarkStart w:id="43" w:name="_Toc24440"/>
      <w:bookmarkStart w:id="44" w:name="_Toc14220"/>
      <w:bookmarkStart w:id="45" w:name="_Toc22004"/>
      <w:bookmarkStart w:id="46" w:name="_Toc1369"/>
      <w:r>
        <w:rPr>
          <w:rFonts w:ascii="Times New Roman" w:hAnsi="Times New Roman" w:eastAsia="黑体"/>
          <w:bCs/>
          <w:color w:val="000000" w:themeColor="text1"/>
          <w:sz w:val="32"/>
          <w:szCs w:val="32"/>
          <w14:textFill>
            <w14:solidFill>
              <w14:schemeClr w14:val="tx1"/>
            </w14:solidFill>
          </w14:textFill>
        </w:rPr>
        <w:t>二、机遇和挑战</w:t>
      </w:r>
      <w:bookmarkEnd w:id="43"/>
      <w:bookmarkEnd w:id="44"/>
      <w:bookmarkEnd w:id="45"/>
      <w:bookmarkEnd w:id="46"/>
    </w:p>
    <w:p>
      <w:pPr>
        <w:ind w:firstLine="643" w:firstLineChars="200"/>
        <w:outlineLvl w:val="2"/>
        <w:rPr>
          <w:rFonts w:ascii="Times New Roman" w:hAnsi="Times New Roman" w:eastAsia="楷体"/>
          <w:b/>
          <w:color w:val="000000" w:themeColor="text1"/>
          <w:sz w:val="32"/>
          <w:szCs w:val="32"/>
          <w14:textFill>
            <w14:solidFill>
              <w14:schemeClr w14:val="tx1"/>
            </w14:solidFill>
          </w14:textFill>
        </w:rPr>
      </w:pPr>
      <w:r>
        <w:rPr>
          <w:rFonts w:ascii="Times New Roman" w:hAnsi="Times New Roman" w:eastAsia="楷体"/>
          <w:b/>
          <w:color w:val="000000" w:themeColor="text1"/>
          <w:sz w:val="32"/>
          <w:szCs w:val="32"/>
          <w14:textFill>
            <w14:solidFill>
              <w14:schemeClr w14:val="tx1"/>
            </w14:solidFill>
          </w14:textFill>
        </w:rPr>
        <w:t>（</w:t>
      </w:r>
      <w:r>
        <w:rPr>
          <w:rFonts w:hint="eastAsia" w:ascii="Times New Roman" w:hAnsi="Times New Roman" w:eastAsia="楷体"/>
          <w:b/>
          <w:color w:val="000000" w:themeColor="text1"/>
          <w:sz w:val="32"/>
          <w:szCs w:val="32"/>
          <w:lang w:val="en-US" w:eastAsia="zh-CN"/>
          <w14:textFill>
            <w14:solidFill>
              <w14:schemeClr w14:val="tx1"/>
            </w14:solidFill>
          </w14:textFill>
        </w:rPr>
        <w:t>一</w:t>
      </w:r>
      <w:r>
        <w:rPr>
          <w:rFonts w:ascii="Times New Roman" w:hAnsi="Times New Roman" w:eastAsia="楷体"/>
          <w:b/>
          <w:color w:val="000000" w:themeColor="text1"/>
          <w:sz w:val="32"/>
          <w:szCs w:val="32"/>
          <w14:textFill>
            <w14:solidFill>
              <w14:schemeClr w14:val="tx1"/>
            </w14:solidFill>
          </w14:textFill>
        </w:rPr>
        <w:t>）宏观经济下行带来新挑战</w:t>
      </w:r>
    </w:p>
    <w:p>
      <w:pPr>
        <w:ind w:firstLine="640" w:firstLineChars="200"/>
        <w:rPr>
          <w:rFonts w:ascii="Times New Roman" w:hAnsi="Times New Roman" w:eastAsia="仿宋"/>
          <w:color w:val="000000" w:themeColor="text1"/>
          <w:sz w:val="32"/>
          <w:szCs w:val="32"/>
          <w14:textFill>
            <w14:solidFill>
              <w14:schemeClr w14:val="tx1"/>
            </w14:solidFill>
          </w14:textFill>
        </w:rPr>
      </w:pPr>
      <w:r>
        <w:rPr>
          <w:rFonts w:ascii="Times New Roman" w:hAnsi="Times New Roman" w:eastAsia="仿宋"/>
          <w:color w:val="000000" w:themeColor="text1"/>
          <w:sz w:val="32"/>
          <w:szCs w:val="32"/>
          <w14:textFill>
            <w14:solidFill>
              <w14:schemeClr w14:val="tx1"/>
            </w14:solidFill>
          </w14:textFill>
        </w:rPr>
        <w:t>当前，国际形势复杂多变，我国经济发展进入新常态，国内经济形势面临下行压力。从钦州市自身条件看，发展不充分不平衡问题矛盾仍非常突出。表现在：经济总量偏小、质量不高的基本市情没有根本改变，人均GDP仅相当于全国水平的60%，总体上处于工业化初期到中期阶段；产业发展基础相对薄弱的局面没有根本改变，规模以上企业数量少，工业增加值占地区生产总值比重下降，产业链未打通，产业集群未形成，新兴产业比重低等。面对宏观经济下行压力持续加大的形势，散装水泥行业发展要适应正加快转变的经济发展方式，促进产业结构转型升级，加快推进节能减排和保护生态环境，积极培育并发展行业新的增长点，才能实现行业高质量可持续发展。</w:t>
      </w:r>
    </w:p>
    <w:p>
      <w:pPr>
        <w:numPr>
          <w:ilvl w:val="0"/>
          <w:numId w:val="2"/>
        </w:numPr>
        <w:ind w:firstLine="643" w:firstLineChars="200"/>
        <w:outlineLvl w:val="2"/>
        <w:rPr>
          <w:rFonts w:ascii="Times New Roman" w:hAnsi="Times New Roman" w:eastAsia="楷体"/>
          <w:b/>
          <w:color w:val="000000" w:themeColor="text1"/>
          <w:sz w:val="32"/>
          <w:szCs w:val="32"/>
          <w14:textFill>
            <w14:solidFill>
              <w14:schemeClr w14:val="tx1"/>
            </w14:solidFill>
          </w14:textFill>
        </w:rPr>
      </w:pPr>
      <w:r>
        <w:rPr>
          <w:rFonts w:hint="eastAsia" w:ascii="Times New Roman" w:hAnsi="Times New Roman" w:eastAsia="楷体"/>
          <w:b/>
          <w:color w:val="000000" w:themeColor="text1"/>
          <w:sz w:val="32"/>
          <w:szCs w:val="32"/>
          <w14:textFill>
            <w14:solidFill>
              <w14:schemeClr w14:val="tx1"/>
            </w14:solidFill>
          </w14:textFill>
        </w:rPr>
        <w:t>西部陆海新通道平陆运河建设带来新机遇</w:t>
      </w:r>
    </w:p>
    <w:p>
      <w:pPr>
        <w:ind w:firstLine="640" w:firstLineChars="200"/>
        <w:rPr>
          <w:rFonts w:ascii="Times New Roman" w:hAnsi="Times New Roman" w:eastAsia="仿宋"/>
          <w:color w:val="000000" w:themeColor="text1"/>
          <w:sz w:val="32"/>
          <w:szCs w:val="32"/>
          <w14:textFill>
            <w14:solidFill>
              <w14:schemeClr w14:val="tx1"/>
            </w14:solidFill>
          </w14:textFill>
        </w:rPr>
      </w:pPr>
      <w:r>
        <w:rPr>
          <w:rFonts w:hint="eastAsia" w:ascii="Times New Roman" w:hAnsi="Times New Roman" w:eastAsia="仿宋"/>
          <w:color w:val="000000" w:themeColor="text1"/>
          <w:sz w:val="32"/>
          <w:szCs w:val="32"/>
          <w14:textFill>
            <w14:solidFill>
              <w14:schemeClr w14:val="tx1"/>
            </w14:solidFill>
          </w14:textFill>
        </w:rPr>
        <w:t>党中央对海洋强国的战略部署和习近平总书记视察广西时提出“打造好向海经济”、“大力发展向海经济”的重要指示精神，西部陆海新通道总体规划、为广西发展提供了向海战略导向和政策红利。自治区第十二次党代会提出“面朝大海、向海图强”的精神，平陆运河被纳入国家《内河航运发展纲要》，这为钦州发挥沿海、沿江区位优势，深度融入国内国际双循环、全方位深化开放合作、促进向海经济要素流通、延伸向海经济产业链供应链，加快海洋强市建设，实现向海经济高质量发展，带来新机遇。平陆运河建设可带动航道沿线预拌混凝土搅拌站发展，预计可带动18个预拌混凝土搅拌站，年新增产值可达6.2亿，按现有站点覆盖半径情况预测，其中灵山县3个，年可新增产量约43万立方米，年新增产值达1.5亿元；钦南区9个，年可新增产量89万立方米，年新增产值达3.2亿元；钦北区6个，年可新增产量42万立方米，年新增产值达1.5亿元。</w:t>
      </w:r>
    </w:p>
    <w:p>
      <w:pPr>
        <w:ind w:firstLine="643" w:firstLineChars="200"/>
        <w:outlineLvl w:val="2"/>
        <w:rPr>
          <w:rFonts w:ascii="Times New Roman" w:hAnsi="Times New Roman" w:eastAsia="楷体"/>
          <w:b/>
          <w:color w:val="000000" w:themeColor="text1"/>
          <w:sz w:val="32"/>
          <w:szCs w:val="32"/>
          <w14:textFill>
            <w14:solidFill>
              <w14:schemeClr w14:val="tx1"/>
            </w14:solidFill>
          </w14:textFill>
        </w:rPr>
      </w:pPr>
      <w:r>
        <w:rPr>
          <w:rFonts w:ascii="Times New Roman" w:hAnsi="Times New Roman" w:eastAsia="楷体"/>
          <w:b/>
          <w:color w:val="000000" w:themeColor="text1"/>
          <w:sz w:val="32"/>
          <w:szCs w:val="32"/>
          <w14:textFill>
            <w14:solidFill>
              <w14:schemeClr w14:val="tx1"/>
            </w14:solidFill>
          </w14:textFill>
        </w:rPr>
        <w:t>（</w:t>
      </w:r>
      <w:r>
        <w:rPr>
          <w:rFonts w:hint="eastAsia" w:ascii="Times New Roman" w:hAnsi="Times New Roman" w:eastAsia="楷体"/>
          <w:b/>
          <w:color w:val="000000" w:themeColor="text1"/>
          <w:sz w:val="32"/>
          <w:szCs w:val="32"/>
          <w:lang w:val="en-US" w:eastAsia="zh-CN"/>
          <w14:textFill>
            <w14:solidFill>
              <w14:schemeClr w14:val="tx1"/>
            </w14:solidFill>
          </w14:textFill>
        </w:rPr>
        <w:t>三</w:t>
      </w:r>
      <w:r>
        <w:rPr>
          <w:rFonts w:ascii="Times New Roman" w:hAnsi="Times New Roman" w:eastAsia="楷体"/>
          <w:b/>
          <w:color w:val="000000" w:themeColor="text1"/>
          <w:sz w:val="32"/>
          <w:szCs w:val="32"/>
          <w14:textFill>
            <w14:solidFill>
              <w14:schemeClr w14:val="tx1"/>
            </w14:solidFill>
          </w14:textFill>
        </w:rPr>
        <w:t>）全市经济社会高质量发展</w:t>
      </w:r>
      <w:r>
        <w:rPr>
          <w:rFonts w:hint="eastAsia" w:ascii="Times New Roman" w:hAnsi="Times New Roman" w:eastAsia="楷体"/>
          <w:b/>
          <w:color w:val="000000" w:themeColor="text1"/>
          <w:sz w:val="32"/>
          <w:szCs w:val="32"/>
          <w14:textFill>
            <w14:solidFill>
              <w14:schemeClr w14:val="tx1"/>
            </w14:solidFill>
          </w14:textFill>
        </w:rPr>
        <w:t>创造广阔市场空间</w:t>
      </w:r>
    </w:p>
    <w:p>
      <w:pPr>
        <w:ind w:firstLine="640" w:firstLineChars="200"/>
        <w:rPr>
          <w:rFonts w:ascii="Times New Roman" w:hAnsi="Times New Roman" w:eastAsia="仿宋"/>
          <w:color w:val="000000" w:themeColor="text1"/>
          <w:sz w:val="32"/>
          <w:szCs w:val="32"/>
          <w14:textFill>
            <w14:solidFill>
              <w14:schemeClr w14:val="tx1"/>
            </w14:solidFill>
          </w14:textFill>
        </w:rPr>
      </w:pPr>
      <w:r>
        <w:rPr>
          <w:rFonts w:ascii="Times New Roman" w:hAnsi="Times New Roman" w:eastAsia="仿宋"/>
          <w:color w:val="000000" w:themeColor="text1"/>
          <w:sz w:val="32"/>
          <w:szCs w:val="32"/>
          <w14:textFill>
            <w14:solidFill>
              <w14:schemeClr w14:val="tx1"/>
            </w14:solidFill>
          </w14:textFill>
        </w:rPr>
        <w:t>《钦州市国民经济和社会发展第十四个五年规划和</w:t>
      </w:r>
      <w:r>
        <w:rPr>
          <w:rFonts w:hint="eastAsia" w:ascii="Times New Roman" w:hAnsi="Times New Roman" w:eastAsia="仿宋"/>
          <w:color w:val="000000" w:themeColor="text1"/>
          <w:sz w:val="32"/>
          <w:szCs w:val="32"/>
          <w:lang w:val="en-US" w:eastAsia="zh-CN"/>
          <w14:textFill>
            <w14:solidFill>
              <w14:schemeClr w14:val="tx1"/>
            </w14:solidFill>
          </w14:textFill>
        </w:rPr>
        <w:t>2035</w:t>
      </w:r>
      <w:r>
        <w:rPr>
          <w:rFonts w:ascii="Times New Roman" w:hAnsi="Times New Roman" w:eastAsia="仿宋"/>
          <w:color w:val="000000" w:themeColor="text1"/>
          <w:sz w:val="32"/>
          <w:szCs w:val="32"/>
          <w14:textFill>
            <w14:solidFill>
              <w14:schemeClr w14:val="tx1"/>
            </w14:solidFill>
          </w14:textFill>
        </w:rPr>
        <w:t>年远景目标纲要》提出的</w:t>
      </w:r>
      <w:r>
        <w:rPr>
          <w:rFonts w:hint="eastAsia" w:ascii="Times New Roman" w:hAnsi="Times New Roman" w:eastAsia="仿宋"/>
          <w:color w:val="000000" w:themeColor="text1"/>
          <w:sz w:val="32"/>
          <w:szCs w:val="32"/>
          <w14:textFill>
            <w14:solidFill>
              <w14:schemeClr w14:val="tx1"/>
            </w14:solidFill>
          </w14:textFill>
        </w:rPr>
        <w:t>“</w:t>
      </w:r>
      <w:r>
        <w:rPr>
          <w:rFonts w:ascii="Times New Roman" w:hAnsi="Times New Roman" w:eastAsia="仿宋"/>
          <w:color w:val="000000" w:themeColor="text1"/>
          <w:sz w:val="32"/>
          <w:szCs w:val="32"/>
          <w14:textFill>
            <w14:solidFill>
              <w14:schemeClr w14:val="tx1"/>
            </w14:solidFill>
          </w14:textFill>
        </w:rPr>
        <w:t>十四五</w:t>
      </w:r>
      <w:r>
        <w:rPr>
          <w:rFonts w:hint="eastAsia" w:ascii="Times New Roman" w:hAnsi="Times New Roman" w:eastAsia="仿宋"/>
          <w:color w:val="000000" w:themeColor="text1"/>
          <w:sz w:val="32"/>
          <w:szCs w:val="32"/>
          <w14:textFill>
            <w14:solidFill>
              <w14:schemeClr w14:val="tx1"/>
            </w14:solidFill>
          </w14:textFill>
        </w:rPr>
        <w:t>”</w:t>
      </w:r>
      <w:r>
        <w:rPr>
          <w:rFonts w:ascii="Times New Roman" w:hAnsi="Times New Roman" w:eastAsia="仿宋"/>
          <w:color w:val="000000" w:themeColor="text1"/>
          <w:sz w:val="32"/>
          <w:szCs w:val="32"/>
          <w14:textFill>
            <w14:solidFill>
              <w14:schemeClr w14:val="tx1"/>
            </w14:solidFill>
          </w14:textFill>
        </w:rPr>
        <w:t>发展目标为：</w:t>
      </w:r>
      <w:r>
        <w:rPr>
          <w:rFonts w:hint="eastAsia" w:ascii="Times New Roman" w:hAnsi="Times New Roman" w:eastAsia="仿宋"/>
          <w:color w:val="000000" w:themeColor="text1"/>
          <w:sz w:val="32"/>
          <w:szCs w:val="32"/>
          <w14:textFill>
            <w14:solidFill>
              <w14:schemeClr w14:val="tx1"/>
            </w14:solidFill>
          </w14:textFill>
        </w:rPr>
        <w:t>“</w:t>
      </w:r>
      <w:r>
        <w:rPr>
          <w:rFonts w:ascii="Times New Roman" w:hAnsi="Times New Roman" w:eastAsia="仿宋"/>
          <w:color w:val="000000" w:themeColor="text1"/>
          <w:sz w:val="32"/>
          <w:szCs w:val="32"/>
          <w14:textFill>
            <w14:solidFill>
              <w14:schemeClr w14:val="tx1"/>
            </w14:solidFill>
          </w14:textFill>
        </w:rPr>
        <w:t>高标准完成自贸试验区钦州港片区、北部湾千万标箱大港、北部湾临海核心工业区建设任务，</w:t>
      </w:r>
      <w:r>
        <w:rPr>
          <w:rFonts w:hint="eastAsia" w:ascii="Times New Roman" w:hAnsi="Times New Roman" w:eastAsia="仿宋"/>
          <w:color w:val="000000" w:themeColor="text1"/>
          <w:sz w:val="32"/>
          <w:szCs w:val="32"/>
          <w14:textFill>
            <w14:solidFill>
              <w14:schemeClr w14:val="tx1"/>
            </w14:solidFill>
          </w14:textFill>
        </w:rPr>
        <w:t>全面实施“</w:t>
      </w:r>
      <w:r>
        <w:rPr>
          <w:rFonts w:ascii="Times New Roman" w:hAnsi="Times New Roman" w:eastAsia="仿宋"/>
          <w:color w:val="000000" w:themeColor="text1"/>
          <w:sz w:val="32"/>
          <w:szCs w:val="32"/>
          <w14:textFill>
            <w14:solidFill>
              <w14:schemeClr w14:val="tx1"/>
            </w14:solidFill>
          </w14:textFill>
        </w:rPr>
        <w:t>建大港、</w:t>
      </w:r>
      <w:r>
        <w:rPr>
          <w:rFonts w:hint="eastAsia" w:ascii="Times New Roman" w:hAnsi="Times New Roman" w:eastAsia="仿宋"/>
          <w:color w:val="000000" w:themeColor="text1"/>
          <w:sz w:val="32"/>
          <w:szCs w:val="32"/>
          <w14:textFill>
            <w14:solidFill>
              <w14:schemeClr w14:val="tx1"/>
            </w14:solidFill>
          </w14:textFill>
        </w:rPr>
        <w:t>壮</w:t>
      </w:r>
      <w:r>
        <w:rPr>
          <w:rFonts w:ascii="Times New Roman" w:hAnsi="Times New Roman" w:eastAsia="仿宋"/>
          <w:color w:val="000000" w:themeColor="text1"/>
          <w:sz w:val="32"/>
          <w:szCs w:val="32"/>
          <w14:textFill>
            <w14:solidFill>
              <w14:schemeClr w14:val="tx1"/>
            </w14:solidFill>
          </w14:textFill>
        </w:rPr>
        <w:t>产业、造滨城</w:t>
      </w:r>
      <w:r>
        <w:rPr>
          <w:rFonts w:hint="eastAsia" w:ascii="Times New Roman" w:hAnsi="Times New Roman" w:eastAsia="仿宋"/>
          <w:color w:val="000000" w:themeColor="text1"/>
          <w:sz w:val="32"/>
          <w:szCs w:val="32"/>
          <w14:textFill>
            <w14:solidFill>
              <w14:schemeClr w14:val="tx1"/>
            </w14:solidFill>
          </w14:textFill>
        </w:rPr>
        <w:t>、美乡村”</w:t>
      </w:r>
      <w:r>
        <w:rPr>
          <w:rFonts w:hint="eastAsia" w:ascii="Times New Roman" w:hAnsi="Times New Roman" w:eastAsia="仿宋"/>
          <w:color w:val="FF0000"/>
          <w:sz w:val="32"/>
          <w:szCs w:val="32"/>
        </w:rPr>
        <w:t>四轮驱动战略</w:t>
      </w:r>
      <w:r>
        <w:rPr>
          <w:rFonts w:ascii="Times New Roman" w:hAnsi="Times New Roman" w:eastAsia="仿宋"/>
          <w:color w:val="000000" w:themeColor="text1"/>
          <w:sz w:val="32"/>
          <w:szCs w:val="32"/>
          <w14:textFill>
            <w14:solidFill>
              <w14:schemeClr w14:val="tx1"/>
            </w14:solidFill>
          </w14:textFill>
        </w:rPr>
        <w:t>，坚持</w:t>
      </w:r>
      <w:r>
        <w:rPr>
          <w:rFonts w:hint="eastAsia" w:ascii="Times New Roman" w:hAnsi="Times New Roman" w:eastAsia="仿宋"/>
          <w:color w:val="000000" w:themeColor="text1"/>
          <w:sz w:val="32"/>
          <w:szCs w:val="32"/>
          <w14:textFill>
            <w14:solidFill>
              <w14:schemeClr w14:val="tx1"/>
            </w14:solidFill>
          </w14:textFill>
        </w:rPr>
        <w:t>“</w:t>
      </w:r>
      <w:r>
        <w:rPr>
          <w:rFonts w:ascii="Times New Roman" w:hAnsi="Times New Roman" w:eastAsia="仿宋"/>
          <w:color w:val="000000" w:themeColor="text1"/>
          <w:sz w:val="32"/>
          <w:szCs w:val="32"/>
          <w14:textFill>
            <w14:solidFill>
              <w14:schemeClr w14:val="tx1"/>
            </w14:solidFill>
          </w14:textFill>
        </w:rPr>
        <w:t>政策为大、项目为王、环境为本、创新为要</w:t>
      </w:r>
      <w:r>
        <w:rPr>
          <w:rFonts w:hint="eastAsia" w:ascii="Times New Roman" w:hAnsi="Times New Roman" w:eastAsia="仿宋"/>
          <w:color w:val="000000" w:themeColor="text1"/>
          <w:sz w:val="32"/>
          <w:szCs w:val="32"/>
          <w14:textFill>
            <w14:solidFill>
              <w14:schemeClr w14:val="tx1"/>
            </w14:solidFill>
          </w14:textFill>
        </w:rPr>
        <w:t>”</w:t>
      </w:r>
      <w:r>
        <w:rPr>
          <w:rFonts w:ascii="Times New Roman" w:hAnsi="Times New Roman" w:eastAsia="仿宋"/>
          <w:color w:val="000000" w:themeColor="text1"/>
          <w:sz w:val="32"/>
          <w:szCs w:val="32"/>
          <w14:textFill>
            <w14:solidFill>
              <w14:schemeClr w14:val="tx1"/>
            </w14:solidFill>
          </w14:textFill>
        </w:rPr>
        <w:t>，</w:t>
      </w:r>
      <w:r>
        <w:rPr>
          <w:rFonts w:hint="eastAsia" w:ascii="Times New Roman" w:hAnsi="Times New Roman" w:eastAsia="仿宋"/>
          <w:color w:val="000000" w:themeColor="text1"/>
          <w:sz w:val="32"/>
          <w:szCs w:val="32"/>
          <w14:textFill>
            <w14:solidFill>
              <w14:schemeClr w14:val="tx1"/>
            </w14:solidFill>
          </w14:textFill>
        </w:rPr>
        <w:t>争当广西“面朝大海，向海图强”排头兵，</w:t>
      </w:r>
      <w:r>
        <w:rPr>
          <w:rFonts w:ascii="Times New Roman" w:hAnsi="Times New Roman" w:eastAsia="仿宋"/>
          <w:color w:val="000000" w:themeColor="text1"/>
          <w:sz w:val="32"/>
          <w:szCs w:val="32"/>
          <w14:textFill>
            <w14:solidFill>
              <w14:schemeClr w14:val="tx1"/>
            </w14:solidFill>
          </w14:textFill>
        </w:rPr>
        <w:t>成为广西工业强市，高水平开放高质量发展走在全区前列。其中包含：2025年规模以上工业总产值超过3000亿元，工业增加值占GDP比重提高到40%以上，工业总量力争进入全区前四位。十四五期间，高质量高要求的工业规模发展目标为全市散装水泥、预拌混凝土、预拌砂浆行业</w:t>
      </w:r>
      <w:r>
        <w:rPr>
          <w:rFonts w:hint="eastAsia" w:ascii="Times New Roman" w:hAnsi="Times New Roman" w:eastAsia="仿宋"/>
          <w:color w:val="000000" w:themeColor="text1"/>
          <w:sz w:val="32"/>
          <w:szCs w:val="32"/>
          <w14:textFill>
            <w14:solidFill>
              <w14:schemeClr w14:val="tx1"/>
            </w14:solidFill>
          </w14:textFill>
        </w:rPr>
        <w:t>提供广阔的市场空间</w:t>
      </w:r>
      <w:r>
        <w:rPr>
          <w:rFonts w:ascii="Times New Roman" w:hAnsi="Times New Roman" w:eastAsia="仿宋"/>
          <w:color w:val="000000" w:themeColor="text1"/>
          <w:sz w:val="32"/>
          <w:szCs w:val="32"/>
          <w14:textFill>
            <w14:solidFill>
              <w14:schemeClr w14:val="tx1"/>
            </w14:solidFill>
          </w14:textFill>
        </w:rPr>
        <w:t>。</w:t>
      </w:r>
    </w:p>
    <w:p>
      <w:pPr>
        <w:ind w:firstLine="643" w:firstLineChars="200"/>
        <w:outlineLvl w:val="2"/>
        <w:rPr>
          <w:rFonts w:ascii="Times New Roman" w:hAnsi="Times New Roman" w:eastAsia="楷体"/>
          <w:b/>
          <w:color w:val="000000" w:themeColor="text1"/>
          <w:sz w:val="32"/>
          <w:szCs w:val="32"/>
          <w14:textFill>
            <w14:solidFill>
              <w14:schemeClr w14:val="tx1"/>
            </w14:solidFill>
          </w14:textFill>
        </w:rPr>
      </w:pPr>
      <w:r>
        <w:rPr>
          <w:rFonts w:ascii="Times New Roman" w:hAnsi="Times New Roman" w:eastAsia="楷体"/>
          <w:b/>
          <w:color w:val="000000" w:themeColor="text1"/>
          <w:sz w:val="32"/>
          <w:szCs w:val="32"/>
          <w14:textFill>
            <w14:solidFill>
              <w14:schemeClr w14:val="tx1"/>
            </w14:solidFill>
          </w14:textFill>
        </w:rPr>
        <w:t>（</w:t>
      </w:r>
      <w:r>
        <w:rPr>
          <w:rFonts w:hint="eastAsia" w:ascii="Times New Roman" w:hAnsi="Times New Roman" w:eastAsia="楷体"/>
          <w:b/>
          <w:color w:val="000000" w:themeColor="text1"/>
          <w:sz w:val="32"/>
          <w:szCs w:val="32"/>
          <w14:textFill>
            <w14:solidFill>
              <w14:schemeClr w14:val="tx1"/>
            </w14:solidFill>
          </w14:textFill>
        </w:rPr>
        <w:t>四</w:t>
      </w:r>
      <w:r>
        <w:rPr>
          <w:rFonts w:ascii="Times New Roman" w:hAnsi="Times New Roman" w:eastAsia="楷体"/>
          <w:b/>
          <w:color w:val="000000" w:themeColor="text1"/>
          <w:sz w:val="32"/>
          <w:szCs w:val="32"/>
          <w14:textFill>
            <w14:solidFill>
              <w14:schemeClr w14:val="tx1"/>
            </w14:solidFill>
          </w14:textFill>
        </w:rPr>
        <w:t>）建材行业转型升级提出高要求</w:t>
      </w:r>
    </w:p>
    <w:p>
      <w:pPr>
        <w:ind w:firstLine="640" w:firstLineChars="200"/>
        <w:rPr>
          <w:rFonts w:ascii="Times New Roman" w:hAnsi="Times New Roman" w:eastAsia="仿宋"/>
          <w:color w:val="000000" w:themeColor="text1"/>
          <w:sz w:val="32"/>
          <w:szCs w:val="32"/>
          <w14:textFill>
            <w14:solidFill>
              <w14:schemeClr w14:val="tx1"/>
            </w14:solidFill>
          </w14:textFill>
        </w:rPr>
      </w:pPr>
      <w:r>
        <w:rPr>
          <w:rFonts w:ascii="Times New Roman" w:hAnsi="Times New Roman" w:eastAsia="仿宋"/>
          <w:color w:val="000000" w:themeColor="text1"/>
          <w:sz w:val="32"/>
          <w:szCs w:val="32"/>
          <w14:textFill>
            <w14:solidFill>
              <w14:schemeClr w14:val="tx1"/>
            </w14:solidFill>
          </w14:textFill>
        </w:rPr>
        <w:t>加强生态文明建设，坚持绿色发展，使资源、生产、消费等要素相匹配相适应，是构建高质量现代化经济体系的必然要求，近年来，全社会生态、绿色、循环、低碳、环保理念更加深入人心，绿色建材和装配式建筑进入快速发展时期；一方面，部分适应生产消费升级需要的产品缺乏，一些长期积累的结构性矛盾日益凸显，倒逼建材工业加快转型升级，对散装水泥行业在产品性能、功能、质量及技术上提出新的要求；另一方面，生态文明建设和绿色发展要求给散装水泥发展带来新的市场商机，也对散装水泥行业生产与流通过程的清洁、环保和资源的综合利用等提出了更高要求。</w:t>
      </w:r>
    </w:p>
    <w:p>
      <w:pPr>
        <w:ind w:firstLine="643" w:firstLineChars="200"/>
        <w:outlineLvl w:val="2"/>
        <w:rPr>
          <w:rFonts w:ascii="Times New Roman" w:hAnsi="Times New Roman" w:eastAsia="楷体"/>
          <w:b/>
          <w:color w:val="000000" w:themeColor="text1"/>
          <w:sz w:val="32"/>
          <w:szCs w:val="32"/>
          <w14:textFill>
            <w14:solidFill>
              <w14:schemeClr w14:val="tx1"/>
            </w14:solidFill>
          </w14:textFill>
        </w:rPr>
      </w:pPr>
      <w:r>
        <w:rPr>
          <w:rFonts w:ascii="Times New Roman" w:hAnsi="Times New Roman" w:eastAsia="楷体"/>
          <w:b/>
          <w:color w:val="000000" w:themeColor="text1"/>
          <w:sz w:val="32"/>
          <w:szCs w:val="32"/>
          <w14:textFill>
            <w14:solidFill>
              <w14:schemeClr w14:val="tx1"/>
            </w14:solidFill>
          </w14:textFill>
        </w:rPr>
        <w:t>（</w:t>
      </w:r>
      <w:r>
        <w:rPr>
          <w:rFonts w:hint="eastAsia" w:ascii="Times New Roman" w:hAnsi="Times New Roman" w:eastAsia="楷体"/>
          <w:b/>
          <w:color w:val="000000" w:themeColor="text1"/>
          <w:sz w:val="32"/>
          <w:szCs w:val="32"/>
          <w14:textFill>
            <w14:solidFill>
              <w14:schemeClr w14:val="tx1"/>
            </w14:solidFill>
          </w14:textFill>
        </w:rPr>
        <w:t>五</w:t>
      </w:r>
      <w:r>
        <w:rPr>
          <w:rFonts w:ascii="Times New Roman" w:hAnsi="Times New Roman" w:eastAsia="楷体"/>
          <w:b/>
          <w:color w:val="000000" w:themeColor="text1"/>
          <w:sz w:val="32"/>
          <w:szCs w:val="32"/>
          <w14:textFill>
            <w14:solidFill>
              <w14:schemeClr w14:val="tx1"/>
            </w14:solidFill>
          </w14:textFill>
        </w:rPr>
        <w:t>）双碳双控对行业绿色发展提出紧迫要求</w:t>
      </w:r>
    </w:p>
    <w:p>
      <w:pPr>
        <w:ind w:firstLine="640" w:firstLineChars="200"/>
        <w:rPr>
          <w:rFonts w:ascii="Times New Roman" w:hAnsi="Times New Roman" w:eastAsia="仿宋"/>
          <w:color w:val="000000" w:themeColor="text1"/>
          <w:sz w:val="32"/>
          <w:szCs w:val="32"/>
          <w14:textFill>
            <w14:solidFill>
              <w14:schemeClr w14:val="tx1"/>
            </w14:solidFill>
          </w14:textFill>
        </w:rPr>
      </w:pPr>
      <w:r>
        <w:rPr>
          <w:rFonts w:ascii="Times New Roman" w:hAnsi="Times New Roman" w:eastAsia="仿宋"/>
          <w:color w:val="000000" w:themeColor="text1"/>
          <w:sz w:val="32"/>
          <w:szCs w:val="32"/>
          <w14:textFill>
            <w14:solidFill>
              <w14:schemeClr w14:val="tx1"/>
            </w14:solidFill>
          </w14:textFill>
        </w:rPr>
        <w:t>在我国承诺二氧化碳排放力争2030年前实现碳达峰、2060年前实现碳中和的大背景下，工业发展面临的资源环境约束日益增强，传统产业转型升级压力较大。随着双碳战略的落地，双控政策成为节能减排的重要抓手，政策效力日益强化，未来中国经济结构和经济社会运转方式将产生深刻变革。作为典型的资源能源承载型行业，建材行业的能源消耗总量和碳排放总量位居各工业行业前列。双碳双控将促进绿色生产方式和生活方式的形成，也将倒逼散装水泥、预拌混凝土、预拌砂浆行业向绿色低碳发展方式转变。</w:t>
      </w:r>
    </w:p>
    <w:p>
      <w:pPr>
        <w:ind w:firstLine="643" w:firstLineChars="200"/>
        <w:outlineLvl w:val="2"/>
        <w:rPr>
          <w:rFonts w:ascii="Times New Roman" w:hAnsi="Times New Roman" w:eastAsia="楷体"/>
          <w:b/>
          <w:color w:val="000000" w:themeColor="text1"/>
          <w:sz w:val="32"/>
          <w:szCs w:val="32"/>
          <w14:textFill>
            <w14:solidFill>
              <w14:schemeClr w14:val="tx1"/>
            </w14:solidFill>
          </w14:textFill>
        </w:rPr>
      </w:pPr>
      <w:bookmarkStart w:id="47" w:name="_Toc21843"/>
      <w:r>
        <w:rPr>
          <w:rFonts w:ascii="Times New Roman" w:hAnsi="Times New Roman" w:eastAsia="楷体"/>
          <w:b/>
          <w:color w:val="000000" w:themeColor="text1"/>
          <w:sz w:val="32"/>
          <w:szCs w:val="32"/>
          <w14:textFill>
            <w14:solidFill>
              <w14:schemeClr w14:val="tx1"/>
            </w14:solidFill>
          </w14:textFill>
        </w:rPr>
        <w:t>（</w:t>
      </w:r>
      <w:r>
        <w:rPr>
          <w:rFonts w:hint="eastAsia" w:ascii="Times New Roman" w:hAnsi="Times New Roman" w:eastAsia="楷体"/>
          <w:b/>
          <w:color w:val="000000" w:themeColor="text1"/>
          <w:sz w:val="32"/>
          <w:szCs w:val="32"/>
          <w14:textFill>
            <w14:solidFill>
              <w14:schemeClr w14:val="tx1"/>
            </w14:solidFill>
          </w14:textFill>
        </w:rPr>
        <w:t>六</w:t>
      </w:r>
      <w:r>
        <w:rPr>
          <w:rFonts w:ascii="Times New Roman" w:hAnsi="Times New Roman" w:eastAsia="楷体"/>
          <w:b/>
          <w:color w:val="000000" w:themeColor="text1"/>
          <w:sz w:val="32"/>
          <w:szCs w:val="32"/>
          <w14:textFill>
            <w14:solidFill>
              <w14:schemeClr w14:val="tx1"/>
            </w14:solidFill>
          </w14:textFill>
        </w:rPr>
        <w:t>）信息技术与传统产业深入融合成为新趋势</w:t>
      </w:r>
      <w:bookmarkEnd w:id="47"/>
    </w:p>
    <w:p>
      <w:pPr>
        <w:ind w:firstLine="640" w:firstLineChars="200"/>
        <w:rPr>
          <w:rFonts w:ascii="Times New Roman" w:hAnsi="Times New Roman" w:eastAsia="仿宋"/>
          <w:color w:val="000000" w:themeColor="text1"/>
          <w:sz w:val="32"/>
          <w:szCs w:val="32"/>
          <w14:textFill>
            <w14:solidFill>
              <w14:schemeClr w14:val="tx1"/>
            </w14:solidFill>
          </w14:textFill>
        </w:rPr>
      </w:pPr>
      <w:r>
        <w:rPr>
          <w:rFonts w:ascii="Times New Roman" w:hAnsi="Times New Roman" w:eastAsia="仿宋"/>
          <w:color w:val="000000" w:themeColor="text1"/>
          <w:sz w:val="32"/>
          <w:szCs w:val="32"/>
          <w14:textFill>
            <w14:solidFill>
              <w14:schemeClr w14:val="tx1"/>
            </w14:solidFill>
          </w14:textFill>
        </w:rPr>
        <w:t>随着以大数据、人工智能为代表的新一代信息通信技术与传统行业加速融合，以及5G、物联网等蓬勃发展，新一代信息通信技术在传统制造业转型升级中发挥着重大的作用。2020年9月工业和信息化部印发《建材工业智能制造数字转型行动计划（2021-2023年）》，对进一步推动工业大数据、</w:t>
      </w:r>
      <w:r>
        <w:rPr>
          <w:rFonts w:hint="eastAsia" w:ascii="Times New Roman" w:hAnsi="Times New Roman" w:eastAsia="仿宋"/>
          <w:color w:val="000000" w:themeColor="text1"/>
          <w:sz w:val="32"/>
          <w:szCs w:val="32"/>
          <w14:textFill>
            <w14:solidFill>
              <w14:schemeClr w14:val="tx1"/>
            </w14:solidFill>
          </w14:textFill>
        </w:rPr>
        <w:t>“</w:t>
      </w:r>
      <w:r>
        <w:rPr>
          <w:rFonts w:ascii="Times New Roman" w:hAnsi="Times New Roman" w:eastAsia="仿宋"/>
          <w:color w:val="000000" w:themeColor="text1"/>
          <w:sz w:val="32"/>
          <w:szCs w:val="32"/>
          <w14:textFill>
            <w14:solidFill>
              <w14:schemeClr w14:val="tx1"/>
            </w14:solidFill>
          </w14:textFill>
        </w:rPr>
        <w:t>互联网+</w:t>
      </w:r>
      <w:r>
        <w:rPr>
          <w:rFonts w:hint="eastAsia" w:ascii="Times New Roman" w:hAnsi="Times New Roman" w:eastAsia="仿宋"/>
          <w:color w:val="000000" w:themeColor="text1"/>
          <w:sz w:val="32"/>
          <w:szCs w:val="32"/>
          <w14:textFill>
            <w14:solidFill>
              <w14:schemeClr w14:val="tx1"/>
            </w14:solidFill>
          </w14:textFill>
        </w:rPr>
        <w:t>”</w:t>
      </w:r>
      <w:r>
        <w:rPr>
          <w:rFonts w:ascii="Times New Roman" w:hAnsi="Times New Roman" w:eastAsia="仿宋"/>
          <w:color w:val="000000" w:themeColor="text1"/>
          <w:sz w:val="32"/>
          <w:szCs w:val="32"/>
          <w14:textFill>
            <w14:solidFill>
              <w14:schemeClr w14:val="tx1"/>
            </w14:solidFill>
          </w14:textFill>
        </w:rPr>
        <w:t>行动与散装水泥行业的融合创新，对推动散装水泥行业结构调整提出新要求，将有效促进行业技术进步和创新发展、转型升级。</w:t>
      </w:r>
    </w:p>
    <w:p>
      <w:pPr>
        <w:keepNext/>
        <w:keepLines/>
        <w:adjustRightInd w:val="0"/>
        <w:snapToGrid w:val="0"/>
        <w:spacing w:line="360" w:lineRule="auto"/>
        <w:ind w:firstLine="640" w:firstLineChars="200"/>
        <w:outlineLvl w:val="1"/>
        <w:rPr>
          <w:rFonts w:ascii="Times New Roman" w:hAnsi="Times New Roman" w:eastAsia="黑体"/>
          <w:bCs/>
          <w:color w:val="000000" w:themeColor="text1"/>
          <w:sz w:val="32"/>
          <w:szCs w:val="32"/>
          <w14:textFill>
            <w14:solidFill>
              <w14:schemeClr w14:val="tx1"/>
            </w14:solidFill>
          </w14:textFill>
        </w:rPr>
      </w:pPr>
      <w:bookmarkStart w:id="48" w:name="_Toc25255"/>
      <w:bookmarkStart w:id="49" w:name="_Toc7915"/>
      <w:bookmarkStart w:id="50" w:name="_Toc23457"/>
      <w:bookmarkStart w:id="51" w:name="_Toc18083"/>
      <w:r>
        <w:rPr>
          <w:rFonts w:ascii="Times New Roman" w:hAnsi="Times New Roman" w:eastAsia="黑体"/>
          <w:bCs/>
          <w:color w:val="000000" w:themeColor="text1"/>
          <w:sz w:val="32"/>
          <w:szCs w:val="32"/>
          <w14:textFill>
            <w14:solidFill>
              <w14:schemeClr w14:val="tx1"/>
            </w14:solidFill>
          </w14:textFill>
        </w:rPr>
        <w:t>三、市场需求分析</w:t>
      </w:r>
      <w:bookmarkEnd w:id="48"/>
      <w:bookmarkEnd w:id="49"/>
      <w:bookmarkEnd w:id="50"/>
      <w:bookmarkEnd w:id="51"/>
    </w:p>
    <w:p>
      <w:pPr>
        <w:ind w:firstLine="640" w:firstLineChars="200"/>
        <w:rPr>
          <w:rFonts w:ascii="Times New Roman" w:hAnsi="Times New Roman" w:eastAsia="仿宋"/>
          <w:color w:val="000000" w:themeColor="text1"/>
          <w:sz w:val="32"/>
          <w:szCs w:val="32"/>
          <w14:textFill>
            <w14:solidFill>
              <w14:schemeClr w14:val="tx1"/>
            </w14:solidFill>
          </w14:textFill>
        </w:rPr>
      </w:pPr>
      <w:r>
        <w:rPr>
          <w:rFonts w:ascii="Times New Roman" w:hAnsi="Times New Roman" w:eastAsia="仿宋"/>
          <w:color w:val="000000" w:themeColor="text1"/>
          <w:sz w:val="32"/>
          <w:szCs w:val="32"/>
          <w14:textFill>
            <w14:solidFill>
              <w14:schemeClr w14:val="tx1"/>
            </w14:solidFill>
          </w14:textFill>
        </w:rPr>
        <w:t>预拌混凝土市场需求与全社会固定资产投资及房地产投资关系密切</w:t>
      </w:r>
      <w:r>
        <w:rPr>
          <w:rFonts w:hint="eastAsia" w:ascii="Times New Roman" w:hAnsi="Times New Roman" w:eastAsia="仿宋"/>
          <w:color w:val="000000" w:themeColor="text1"/>
          <w:sz w:val="32"/>
          <w:szCs w:val="32"/>
          <w14:textFill>
            <w14:solidFill>
              <w14:schemeClr w14:val="tx1"/>
            </w14:solidFill>
          </w14:textFill>
        </w:rPr>
        <w:t>，同时平陆运河工程的建设将有效促进当地预拌混凝土行业发展</w:t>
      </w:r>
      <w:r>
        <w:rPr>
          <w:rFonts w:ascii="Times New Roman" w:hAnsi="Times New Roman" w:eastAsia="仿宋"/>
          <w:color w:val="000000" w:themeColor="text1"/>
          <w:sz w:val="32"/>
          <w:szCs w:val="32"/>
          <w14:textFill>
            <w14:solidFill>
              <w14:schemeClr w14:val="tx1"/>
            </w14:solidFill>
          </w14:textFill>
        </w:rPr>
        <w:t>。结合近几年来钦州市全社会固定资产投资</w:t>
      </w:r>
      <w:r>
        <w:rPr>
          <w:rFonts w:hint="eastAsia" w:ascii="Times New Roman" w:hAnsi="Times New Roman" w:eastAsia="仿宋"/>
          <w:color w:val="000000" w:themeColor="text1"/>
          <w:sz w:val="32"/>
          <w:szCs w:val="32"/>
          <w14:textFill>
            <w14:solidFill>
              <w14:schemeClr w14:val="tx1"/>
            </w14:solidFill>
          </w14:textFill>
        </w:rPr>
        <w:t>、</w:t>
      </w:r>
      <w:r>
        <w:rPr>
          <w:rFonts w:ascii="Times New Roman" w:hAnsi="Times New Roman" w:eastAsia="仿宋"/>
          <w:color w:val="000000" w:themeColor="text1"/>
          <w:sz w:val="32"/>
          <w:szCs w:val="32"/>
          <w14:textFill>
            <w14:solidFill>
              <w14:schemeClr w14:val="tx1"/>
            </w14:solidFill>
          </w14:textFill>
        </w:rPr>
        <w:t>房地产投资、房屋施工面积、土地出让情况等现状趋势</w:t>
      </w:r>
      <w:r>
        <w:rPr>
          <w:rFonts w:hint="eastAsia" w:ascii="Times New Roman" w:hAnsi="Times New Roman" w:eastAsia="仿宋"/>
          <w:color w:val="000000" w:themeColor="text1"/>
          <w:sz w:val="32"/>
          <w:szCs w:val="32"/>
          <w14:textFill>
            <w14:solidFill>
              <w14:schemeClr w14:val="tx1"/>
            </w14:solidFill>
          </w14:textFill>
        </w:rPr>
        <w:t>以及平陆运河工程建设规模进行分析</w:t>
      </w:r>
      <w:r>
        <w:rPr>
          <w:rFonts w:ascii="Times New Roman" w:hAnsi="Times New Roman" w:eastAsia="仿宋"/>
          <w:color w:val="000000" w:themeColor="text1"/>
          <w:sz w:val="32"/>
          <w:szCs w:val="32"/>
          <w14:textFill>
            <w14:solidFill>
              <w14:schemeClr w14:val="tx1"/>
            </w14:solidFill>
          </w14:textFill>
        </w:rPr>
        <w:t>，</w:t>
      </w:r>
      <w:r>
        <w:rPr>
          <w:rFonts w:hint="eastAsia" w:ascii="Times New Roman" w:hAnsi="Times New Roman" w:eastAsia="仿宋"/>
          <w:color w:val="000000" w:themeColor="text1"/>
          <w:sz w:val="32"/>
          <w:szCs w:val="32"/>
          <w14:textFill>
            <w14:solidFill>
              <w14:schemeClr w14:val="tx1"/>
            </w14:solidFill>
          </w14:textFill>
        </w:rPr>
        <w:t>初步</w:t>
      </w:r>
      <w:r>
        <w:rPr>
          <w:rFonts w:ascii="Times New Roman" w:hAnsi="Times New Roman" w:eastAsia="仿宋"/>
          <w:color w:val="000000" w:themeColor="text1"/>
          <w:sz w:val="32"/>
          <w:szCs w:val="32"/>
          <w14:textFill>
            <w14:solidFill>
              <w14:schemeClr w14:val="tx1"/>
            </w14:solidFill>
          </w14:textFill>
        </w:rPr>
        <w:t>预测</w:t>
      </w:r>
      <w:r>
        <w:rPr>
          <w:rFonts w:hint="eastAsia" w:ascii="Times New Roman" w:hAnsi="Times New Roman" w:eastAsia="仿宋"/>
          <w:color w:val="000000" w:themeColor="text1"/>
          <w:sz w:val="32"/>
          <w:szCs w:val="32"/>
          <w14:textFill>
            <w14:solidFill>
              <w14:schemeClr w14:val="tx1"/>
            </w14:solidFill>
          </w14:textFill>
        </w:rPr>
        <w:t>2025</w:t>
      </w:r>
      <w:r>
        <w:rPr>
          <w:rFonts w:ascii="Times New Roman" w:hAnsi="Times New Roman" w:eastAsia="仿宋"/>
          <w:color w:val="000000" w:themeColor="text1"/>
          <w:sz w:val="32"/>
          <w:szCs w:val="32"/>
          <w14:textFill>
            <w14:solidFill>
              <w14:schemeClr w14:val="tx1"/>
            </w14:solidFill>
          </w14:textFill>
        </w:rPr>
        <w:t>年全市预拌混凝土需求量，结果如表2-1、表2-2所示。</w:t>
      </w:r>
    </w:p>
    <w:p>
      <w:pPr>
        <w:adjustRightInd w:val="0"/>
        <w:snapToGrid w:val="0"/>
        <w:jc w:val="center"/>
        <w:rPr>
          <w:rFonts w:ascii="Times New Roman" w:hAnsi="Times New Roman" w:eastAsia="仿宋"/>
          <w:b/>
          <w:bCs/>
          <w:color w:val="000000" w:themeColor="text1"/>
          <w:sz w:val="24"/>
          <w:szCs w:val="24"/>
          <w14:textFill>
            <w14:solidFill>
              <w14:schemeClr w14:val="tx1"/>
            </w14:solidFill>
          </w14:textFill>
        </w:rPr>
      </w:pPr>
      <w:r>
        <w:rPr>
          <w:rFonts w:ascii="Times New Roman" w:hAnsi="Times New Roman" w:eastAsia="仿宋"/>
          <w:b/>
          <w:bCs/>
          <w:color w:val="000000" w:themeColor="text1"/>
          <w:sz w:val="24"/>
          <w:szCs w:val="24"/>
          <w14:textFill>
            <w14:solidFill>
              <w14:schemeClr w14:val="tx1"/>
            </w14:solidFill>
          </w14:textFill>
        </w:rPr>
        <w:t>表2-1</w:t>
      </w:r>
      <w:r>
        <w:rPr>
          <w:rFonts w:hint="eastAsia" w:ascii="Times New Roman" w:hAnsi="Times New Roman" w:eastAsia="仿宋"/>
          <w:b/>
          <w:bCs/>
          <w:color w:val="000000" w:themeColor="text1"/>
          <w:sz w:val="24"/>
          <w:szCs w:val="24"/>
          <w14:textFill>
            <w14:solidFill>
              <w14:schemeClr w14:val="tx1"/>
            </w14:solidFill>
          </w14:textFill>
        </w:rPr>
        <w:t xml:space="preserve">  2025年</w:t>
      </w:r>
      <w:r>
        <w:rPr>
          <w:rFonts w:ascii="Times New Roman" w:hAnsi="Times New Roman" w:eastAsia="仿宋"/>
          <w:b/>
          <w:bCs/>
          <w:color w:val="000000" w:themeColor="text1"/>
          <w:sz w:val="24"/>
          <w:szCs w:val="24"/>
          <w14:textFill>
            <w14:solidFill>
              <w14:schemeClr w14:val="tx1"/>
            </w14:solidFill>
          </w14:textFill>
        </w:rPr>
        <w:t>钦州市预拌混凝土需求预测情况</w:t>
      </w:r>
    </w:p>
    <w:tbl>
      <w:tblPr>
        <w:tblStyle w:val="1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7"/>
        <w:gridCol w:w="2126"/>
        <w:gridCol w:w="2128"/>
        <w:gridCol w:w="21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1254" w:type="pct"/>
            <w:vAlign w:val="center"/>
          </w:tcPr>
          <w:p>
            <w:pPr>
              <w:adjustRightInd w:val="0"/>
              <w:snapToGrid w:val="0"/>
              <w:jc w:val="center"/>
              <w:rPr>
                <w:rFonts w:ascii="Times New Roman" w:hAnsi="Times New Roman" w:eastAsia="仿宋"/>
                <w:b/>
                <w:bCs/>
                <w:color w:val="000000" w:themeColor="text1"/>
                <w:sz w:val="24"/>
                <w:szCs w:val="24"/>
                <w14:textFill>
                  <w14:solidFill>
                    <w14:schemeClr w14:val="tx1"/>
                  </w14:solidFill>
                </w14:textFill>
              </w:rPr>
            </w:pPr>
            <w:r>
              <w:rPr>
                <w:rFonts w:ascii="Times New Roman" w:hAnsi="Times New Roman" w:eastAsia="仿宋"/>
                <w:b/>
                <w:bCs/>
                <w:color w:val="000000" w:themeColor="text1"/>
                <w:sz w:val="24"/>
                <w:szCs w:val="24"/>
                <w14:textFill>
                  <w14:solidFill>
                    <w14:schemeClr w14:val="tx1"/>
                  </w14:solidFill>
                </w14:textFill>
              </w:rPr>
              <w:t>产品</w:t>
            </w:r>
          </w:p>
        </w:tc>
        <w:tc>
          <w:tcPr>
            <w:tcW w:w="1248" w:type="pct"/>
            <w:vAlign w:val="center"/>
          </w:tcPr>
          <w:p>
            <w:pPr>
              <w:adjustRightInd w:val="0"/>
              <w:snapToGrid w:val="0"/>
              <w:jc w:val="center"/>
              <w:rPr>
                <w:rFonts w:ascii="Times New Roman" w:hAnsi="Times New Roman" w:eastAsia="仿宋"/>
                <w:b/>
                <w:bCs/>
                <w:color w:val="000000" w:themeColor="text1"/>
                <w:sz w:val="24"/>
                <w:szCs w:val="24"/>
                <w14:textFill>
                  <w14:solidFill>
                    <w14:schemeClr w14:val="tx1"/>
                  </w14:solidFill>
                </w14:textFill>
              </w:rPr>
            </w:pPr>
            <w:r>
              <w:rPr>
                <w:rFonts w:hint="eastAsia" w:ascii="Times New Roman" w:hAnsi="Times New Roman" w:eastAsia="仿宋"/>
                <w:b/>
                <w:bCs/>
                <w:color w:val="000000" w:themeColor="text1"/>
                <w:sz w:val="24"/>
                <w:szCs w:val="24"/>
                <w14:textFill>
                  <w14:solidFill>
                    <w14:schemeClr w14:val="tx1"/>
                  </w14:solidFill>
                </w14:textFill>
              </w:rPr>
              <w:t>社会发展需求量</w:t>
            </w:r>
          </w:p>
        </w:tc>
        <w:tc>
          <w:tcPr>
            <w:tcW w:w="1249" w:type="pct"/>
            <w:vAlign w:val="center"/>
          </w:tcPr>
          <w:p>
            <w:pPr>
              <w:adjustRightInd w:val="0"/>
              <w:snapToGrid w:val="0"/>
              <w:jc w:val="center"/>
              <w:rPr>
                <w:rFonts w:ascii="Times New Roman" w:hAnsi="Times New Roman" w:eastAsia="仿宋"/>
                <w:b/>
                <w:bCs/>
                <w:color w:val="000000" w:themeColor="text1"/>
                <w:sz w:val="24"/>
                <w:szCs w:val="24"/>
                <w14:textFill>
                  <w14:solidFill>
                    <w14:schemeClr w14:val="tx1"/>
                  </w14:solidFill>
                </w14:textFill>
              </w:rPr>
            </w:pPr>
            <w:r>
              <w:rPr>
                <w:rFonts w:hint="eastAsia" w:ascii="Times New Roman" w:hAnsi="Times New Roman" w:eastAsia="仿宋"/>
                <w:b/>
                <w:bCs/>
                <w:color w:val="000000" w:themeColor="text1"/>
                <w:sz w:val="24"/>
                <w:szCs w:val="24"/>
                <w14:textFill>
                  <w14:solidFill>
                    <w14:schemeClr w14:val="tx1"/>
                  </w14:solidFill>
                </w14:textFill>
              </w:rPr>
              <w:t>平陆运河工程建设需求量</w:t>
            </w:r>
          </w:p>
        </w:tc>
        <w:tc>
          <w:tcPr>
            <w:tcW w:w="1249" w:type="pct"/>
            <w:vAlign w:val="center"/>
          </w:tcPr>
          <w:p>
            <w:pPr>
              <w:adjustRightInd w:val="0"/>
              <w:snapToGrid w:val="0"/>
              <w:jc w:val="center"/>
              <w:rPr>
                <w:rFonts w:ascii="Times New Roman" w:hAnsi="Times New Roman" w:eastAsia="仿宋"/>
                <w:b/>
                <w:bCs/>
                <w:color w:val="000000" w:themeColor="text1"/>
                <w:sz w:val="24"/>
                <w:szCs w:val="24"/>
                <w14:textFill>
                  <w14:solidFill>
                    <w14:schemeClr w14:val="tx1"/>
                  </w14:solidFill>
                </w14:textFill>
              </w:rPr>
            </w:pPr>
            <w:r>
              <w:rPr>
                <w:rFonts w:hint="eastAsia" w:ascii="Times New Roman" w:hAnsi="Times New Roman" w:eastAsia="仿宋"/>
                <w:b/>
                <w:bCs/>
                <w:color w:val="000000" w:themeColor="text1"/>
                <w:sz w:val="24"/>
                <w:szCs w:val="24"/>
                <w14:textFill>
                  <w14:solidFill>
                    <w14:schemeClr w14:val="tx1"/>
                  </w14:solidFill>
                </w14:textFill>
              </w:rPr>
              <w:t>总计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1254"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预拌混凝土（万立方米/年）</w:t>
            </w:r>
          </w:p>
        </w:tc>
        <w:tc>
          <w:tcPr>
            <w:tcW w:w="1248"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980-1020</w:t>
            </w:r>
          </w:p>
        </w:tc>
        <w:tc>
          <w:tcPr>
            <w:tcW w:w="1249"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160-180</w:t>
            </w:r>
          </w:p>
        </w:tc>
        <w:tc>
          <w:tcPr>
            <w:tcW w:w="1249"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1140-1200</w:t>
            </w:r>
          </w:p>
        </w:tc>
      </w:tr>
    </w:tbl>
    <w:p>
      <w:pPr>
        <w:adjustRightInd w:val="0"/>
        <w:snapToGrid w:val="0"/>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注：钦州市平陆运河工程建设混凝土需求总量为868万立方米，其中2025年需求量预计为160-180万立方米。</w:t>
      </w:r>
    </w:p>
    <w:p>
      <w:pPr>
        <w:adjustRightInd w:val="0"/>
        <w:snapToGrid w:val="0"/>
        <w:jc w:val="center"/>
        <w:rPr>
          <w:rFonts w:ascii="Times New Roman" w:hAnsi="Times New Roman" w:eastAsia="仿宋"/>
          <w:b/>
          <w:bCs/>
          <w:color w:val="000000" w:themeColor="text1"/>
          <w:sz w:val="24"/>
          <w:szCs w:val="24"/>
          <w14:textFill>
            <w14:solidFill>
              <w14:schemeClr w14:val="tx1"/>
            </w14:solidFill>
          </w14:textFill>
        </w:rPr>
      </w:pPr>
    </w:p>
    <w:p>
      <w:pPr>
        <w:adjustRightInd w:val="0"/>
        <w:snapToGrid w:val="0"/>
        <w:jc w:val="center"/>
        <w:rPr>
          <w:rFonts w:ascii="Times New Roman" w:hAnsi="Times New Roman" w:eastAsia="仿宋"/>
          <w:b/>
          <w:bCs/>
          <w:color w:val="000000" w:themeColor="text1"/>
          <w:sz w:val="24"/>
          <w:szCs w:val="24"/>
          <w14:textFill>
            <w14:solidFill>
              <w14:schemeClr w14:val="tx1"/>
            </w14:solidFill>
          </w14:textFill>
        </w:rPr>
      </w:pPr>
      <w:r>
        <w:rPr>
          <w:rFonts w:ascii="Times New Roman" w:hAnsi="Times New Roman" w:eastAsia="仿宋"/>
          <w:b/>
          <w:bCs/>
          <w:color w:val="000000" w:themeColor="text1"/>
          <w:sz w:val="24"/>
          <w:szCs w:val="24"/>
          <w14:textFill>
            <w14:solidFill>
              <w14:schemeClr w14:val="tx1"/>
            </w14:solidFill>
          </w14:textFill>
        </w:rPr>
        <w:t>表2-2</w:t>
      </w:r>
      <w:r>
        <w:rPr>
          <w:rFonts w:hint="eastAsia" w:ascii="Times New Roman" w:hAnsi="Times New Roman" w:eastAsia="仿宋"/>
          <w:b/>
          <w:bCs/>
          <w:color w:val="000000" w:themeColor="text1"/>
          <w:sz w:val="24"/>
          <w:szCs w:val="24"/>
          <w14:textFill>
            <w14:solidFill>
              <w14:schemeClr w14:val="tx1"/>
            </w14:solidFill>
          </w14:textFill>
        </w:rPr>
        <w:t xml:space="preserve">  2025年</w:t>
      </w:r>
      <w:r>
        <w:rPr>
          <w:rFonts w:ascii="Times New Roman" w:hAnsi="Times New Roman" w:eastAsia="仿宋"/>
          <w:b/>
          <w:bCs/>
          <w:color w:val="000000" w:themeColor="text1"/>
          <w:sz w:val="24"/>
          <w:szCs w:val="24"/>
          <w14:textFill>
            <w14:solidFill>
              <w14:schemeClr w14:val="tx1"/>
            </w14:solidFill>
          </w14:textFill>
        </w:rPr>
        <w:t>各县（区）预拌混凝土预测需求情况</w:t>
      </w:r>
    </w:p>
    <w:tbl>
      <w:tblPr>
        <w:tblStyle w:val="1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7"/>
        <w:gridCol w:w="1693"/>
        <w:gridCol w:w="1361"/>
        <w:gridCol w:w="1545"/>
        <w:gridCol w:w="1316"/>
        <w:gridCol w:w="13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5"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Times New Roman" w:hAnsi="Times New Roman" w:eastAsia="仿宋"/>
                <w:b/>
                <w:bCs/>
                <w:color w:val="000000" w:themeColor="text1"/>
                <w:kern w:val="0"/>
                <w:sz w:val="24"/>
                <w14:textFill>
                  <w14:solidFill>
                    <w14:schemeClr w14:val="tx1"/>
                  </w14:solidFill>
                </w14:textFill>
              </w:rPr>
            </w:pPr>
            <w:r>
              <w:rPr>
                <w:rFonts w:ascii="Times New Roman" w:hAnsi="Times New Roman" w:eastAsia="仿宋"/>
                <w:b/>
                <w:bCs/>
                <w:color w:val="000000" w:themeColor="text1"/>
                <w:kern w:val="0"/>
                <w:sz w:val="24"/>
                <w14:textFill>
                  <w14:solidFill>
                    <w14:schemeClr w14:val="tx1"/>
                  </w14:solidFill>
                </w14:textFill>
              </w:rPr>
              <w:t>县（区）</w:t>
            </w:r>
          </w:p>
        </w:tc>
        <w:tc>
          <w:tcPr>
            <w:tcW w:w="993"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Times New Roman" w:hAnsi="Times New Roman" w:eastAsia="仿宋"/>
                <w:b/>
                <w:bCs/>
                <w:color w:val="000000" w:themeColor="text1"/>
                <w:kern w:val="0"/>
                <w:sz w:val="24"/>
                <w14:textFill>
                  <w14:solidFill>
                    <w14:schemeClr w14:val="tx1"/>
                  </w14:solidFill>
                </w14:textFill>
              </w:rPr>
            </w:pPr>
            <w:r>
              <w:rPr>
                <w:rFonts w:ascii="Times New Roman" w:hAnsi="Times New Roman" w:eastAsia="仿宋"/>
                <w:b/>
                <w:bCs/>
                <w:color w:val="000000" w:themeColor="text1"/>
                <w:kern w:val="0"/>
                <w:sz w:val="24"/>
                <w14:textFill>
                  <w14:solidFill>
                    <w14:schemeClr w14:val="tx1"/>
                  </w14:solidFill>
                </w14:textFill>
              </w:rPr>
              <w:t>预拌混凝土总需求预测</w:t>
            </w:r>
          </w:p>
          <w:p>
            <w:pPr>
              <w:adjustRightInd w:val="0"/>
              <w:snapToGrid w:val="0"/>
              <w:jc w:val="center"/>
              <w:rPr>
                <w:rFonts w:ascii="Times New Roman" w:hAnsi="Times New Roman" w:eastAsia="仿宋"/>
                <w:b/>
                <w:bCs/>
                <w:color w:val="000000" w:themeColor="text1"/>
                <w:kern w:val="0"/>
                <w:sz w:val="24"/>
                <w14:textFill>
                  <w14:solidFill>
                    <w14:schemeClr w14:val="tx1"/>
                  </w14:solidFill>
                </w14:textFill>
              </w:rPr>
            </w:pPr>
            <w:r>
              <w:rPr>
                <w:rFonts w:ascii="Times New Roman" w:hAnsi="Times New Roman" w:eastAsia="仿宋"/>
                <w:b/>
                <w:bCs/>
                <w:color w:val="000000" w:themeColor="text1"/>
                <w:kern w:val="0"/>
                <w:sz w:val="24"/>
                <w14:textFill>
                  <w14:solidFill>
                    <w14:schemeClr w14:val="tx1"/>
                  </w14:solidFill>
                </w14:textFill>
              </w:rPr>
              <w:t>（</w:t>
            </w:r>
            <w:r>
              <w:rPr>
                <w:rFonts w:hint="eastAsia" w:ascii="Times New Roman" w:hAnsi="Times New Roman" w:eastAsia="仿宋"/>
                <w:b/>
                <w:bCs/>
                <w:color w:val="000000" w:themeColor="text1"/>
                <w:kern w:val="0"/>
                <w:sz w:val="24"/>
                <w14:textFill>
                  <w14:solidFill>
                    <w14:schemeClr w14:val="tx1"/>
                  </w14:solidFill>
                </w14:textFill>
              </w:rPr>
              <w:t>万立方米</w:t>
            </w:r>
            <w:r>
              <w:rPr>
                <w:rFonts w:ascii="Times New Roman" w:hAnsi="Times New Roman" w:eastAsia="仿宋"/>
                <w:b/>
                <w:bCs/>
                <w:color w:val="000000" w:themeColor="text1"/>
                <w:kern w:val="0"/>
                <w:sz w:val="24"/>
                <w14:textFill>
                  <w14:solidFill>
                    <w14:schemeClr w14:val="tx1"/>
                  </w14:solidFill>
                </w14:textFill>
              </w:rPr>
              <w:t>）</w:t>
            </w:r>
          </w:p>
        </w:tc>
        <w:tc>
          <w:tcPr>
            <w:tcW w:w="798"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Times New Roman" w:hAnsi="Times New Roman" w:eastAsia="仿宋"/>
                <w:b/>
                <w:bCs/>
                <w:color w:val="000000" w:themeColor="text1"/>
                <w:kern w:val="0"/>
                <w:sz w:val="24"/>
                <w14:textFill>
                  <w14:solidFill>
                    <w14:schemeClr w14:val="tx1"/>
                  </w14:solidFill>
                </w14:textFill>
              </w:rPr>
            </w:pPr>
            <w:r>
              <w:rPr>
                <w:rFonts w:ascii="Times New Roman" w:hAnsi="Times New Roman" w:eastAsia="仿宋"/>
                <w:b/>
                <w:bCs/>
                <w:color w:val="000000" w:themeColor="text1"/>
                <w:kern w:val="0"/>
                <w:sz w:val="24"/>
                <w14:textFill>
                  <w14:solidFill>
                    <w14:schemeClr w14:val="tx1"/>
                  </w14:solidFill>
                </w14:textFill>
              </w:rPr>
              <w:t>现有产能（</w:t>
            </w:r>
            <w:r>
              <w:rPr>
                <w:rFonts w:hint="eastAsia" w:ascii="Times New Roman" w:hAnsi="Times New Roman" w:eastAsia="仿宋"/>
                <w:b/>
                <w:bCs/>
                <w:color w:val="000000" w:themeColor="text1"/>
                <w:kern w:val="0"/>
                <w:sz w:val="24"/>
                <w14:textFill>
                  <w14:solidFill>
                    <w14:schemeClr w14:val="tx1"/>
                  </w14:solidFill>
                </w14:textFill>
              </w:rPr>
              <w:t>万立方米</w:t>
            </w:r>
            <w:r>
              <w:rPr>
                <w:rFonts w:hint="eastAsia" w:ascii="Times New Roman" w:hAnsi="Times New Roman" w:eastAsia="仿宋"/>
                <w:b/>
                <w:bCs/>
                <w:color w:val="000000" w:themeColor="text1"/>
                <w:kern w:val="0"/>
                <w:sz w:val="24"/>
                <w:lang w:val="en-US" w:eastAsia="zh-CN"/>
                <w14:textFill>
                  <w14:solidFill>
                    <w14:schemeClr w14:val="tx1"/>
                  </w14:solidFill>
                </w14:textFill>
              </w:rPr>
              <w:t>/年</w:t>
            </w:r>
            <w:r>
              <w:rPr>
                <w:rFonts w:ascii="Times New Roman" w:hAnsi="Times New Roman" w:eastAsia="仿宋"/>
                <w:b/>
                <w:bCs/>
                <w:color w:val="000000" w:themeColor="text1"/>
                <w:kern w:val="0"/>
                <w:sz w:val="24"/>
                <w14:textFill>
                  <w14:solidFill>
                    <w14:schemeClr w14:val="tx1"/>
                  </w14:solidFill>
                </w14:textFill>
              </w:rPr>
              <w:t>）</w:t>
            </w:r>
          </w:p>
        </w:tc>
        <w:tc>
          <w:tcPr>
            <w:tcW w:w="906"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Times New Roman" w:hAnsi="Times New Roman" w:eastAsia="仿宋"/>
                <w:b/>
                <w:bCs/>
                <w:color w:val="000000" w:themeColor="text1"/>
                <w:kern w:val="0"/>
                <w:sz w:val="24"/>
                <w14:textFill>
                  <w14:solidFill>
                    <w14:schemeClr w14:val="tx1"/>
                  </w14:solidFill>
                </w14:textFill>
              </w:rPr>
            </w:pPr>
            <w:r>
              <w:rPr>
                <w:rFonts w:ascii="Times New Roman" w:hAnsi="Times New Roman" w:eastAsia="仿宋"/>
                <w:b/>
                <w:bCs/>
                <w:color w:val="000000" w:themeColor="text1"/>
                <w:kern w:val="0"/>
                <w:sz w:val="24"/>
                <w14:textFill>
                  <w14:solidFill>
                    <w14:schemeClr w14:val="tx1"/>
                  </w14:solidFill>
                </w14:textFill>
              </w:rPr>
              <w:t>平陆运河</w:t>
            </w:r>
            <w:r>
              <w:rPr>
                <w:rFonts w:hint="eastAsia" w:ascii="Times New Roman" w:hAnsi="Times New Roman" w:eastAsia="仿宋"/>
                <w:b/>
                <w:bCs/>
                <w:color w:val="000000" w:themeColor="text1"/>
                <w:kern w:val="0"/>
                <w:sz w:val="24"/>
                <w14:textFill>
                  <w14:solidFill>
                    <w14:schemeClr w14:val="tx1"/>
                  </w14:solidFill>
                </w14:textFill>
              </w:rPr>
              <w:t>工程建设需求量</w:t>
            </w:r>
            <w:r>
              <w:rPr>
                <w:rFonts w:ascii="Times New Roman" w:hAnsi="Times New Roman" w:eastAsia="仿宋"/>
                <w:b/>
                <w:bCs/>
                <w:color w:val="000000" w:themeColor="text1"/>
                <w:kern w:val="0"/>
                <w:sz w:val="24"/>
                <w14:textFill>
                  <w14:solidFill>
                    <w14:schemeClr w14:val="tx1"/>
                  </w14:solidFill>
                </w14:textFill>
              </w:rPr>
              <w:t>（</w:t>
            </w:r>
            <w:r>
              <w:rPr>
                <w:rFonts w:hint="eastAsia" w:ascii="Times New Roman" w:hAnsi="Times New Roman" w:eastAsia="仿宋"/>
                <w:b/>
                <w:bCs/>
                <w:color w:val="000000" w:themeColor="text1"/>
                <w:kern w:val="0"/>
                <w:sz w:val="24"/>
                <w14:textFill>
                  <w14:solidFill>
                    <w14:schemeClr w14:val="tx1"/>
                  </w14:solidFill>
                </w14:textFill>
              </w:rPr>
              <w:t>万立方米</w:t>
            </w:r>
            <w:r>
              <w:rPr>
                <w:rFonts w:ascii="Times New Roman" w:hAnsi="Times New Roman" w:eastAsia="仿宋"/>
                <w:b/>
                <w:bCs/>
                <w:color w:val="000000" w:themeColor="text1"/>
                <w:kern w:val="0"/>
                <w:sz w:val="24"/>
                <w14:textFill>
                  <w14:solidFill>
                    <w14:schemeClr w14:val="tx1"/>
                  </w14:solidFill>
                </w14:textFill>
              </w:rPr>
              <w:t>）</w:t>
            </w:r>
          </w:p>
        </w:tc>
        <w:tc>
          <w:tcPr>
            <w:tcW w:w="772"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Times New Roman" w:hAnsi="Times New Roman" w:eastAsia="仿宋"/>
                <w:b/>
                <w:bCs/>
                <w:color w:val="000000" w:themeColor="text1"/>
                <w:kern w:val="0"/>
                <w:sz w:val="24"/>
                <w14:textFill>
                  <w14:solidFill>
                    <w14:schemeClr w14:val="tx1"/>
                  </w14:solidFill>
                </w14:textFill>
              </w:rPr>
            </w:pPr>
            <w:r>
              <w:rPr>
                <w:rFonts w:hint="eastAsia" w:ascii="Times New Roman" w:hAnsi="Times New Roman" w:eastAsia="仿宋"/>
                <w:b/>
                <w:bCs/>
                <w:color w:val="000000" w:themeColor="text1"/>
                <w:kern w:val="0"/>
                <w:sz w:val="24"/>
                <w14:textFill>
                  <w14:solidFill>
                    <w14:schemeClr w14:val="tx1"/>
                  </w14:solidFill>
                </w14:textFill>
              </w:rPr>
              <w:t>平陆运河航道沿线现有站点（个）</w:t>
            </w:r>
          </w:p>
        </w:tc>
        <w:tc>
          <w:tcPr>
            <w:tcW w:w="772"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default" w:ascii="Times New Roman" w:hAnsi="Times New Roman" w:eastAsia="仿宋"/>
                <w:b/>
                <w:bCs/>
                <w:color w:val="FF0000"/>
                <w:kern w:val="0"/>
                <w:sz w:val="24"/>
                <w:lang w:val="en-US" w:eastAsia="zh-CN"/>
              </w:rPr>
            </w:pPr>
            <w:r>
              <w:rPr>
                <w:rFonts w:hint="eastAsia" w:ascii="Times New Roman" w:hAnsi="Times New Roman" w:eastAsia="仿宋"/>
                <w:b/>
                <w:bCs/>
                <w:color w:val="FF0000"/>
                <w:kern w:val="0"/>
                <w:sz w:val="24"/>
              </w:rPr>
              <w:t>平陆运河航道沿线</w:t>
            </w:r>
            <w:r>
              <w:rPr>
                <w:rFonts w:hint="eastAsia" w:ascii="Times New Roman" w:hAnsi="Times New Roman" w:eastAsia="仿宋"/>
                <w:b/>
                <w:bCs/>
                <w:color w:val="FF0000"/>
                <w:kern w:val="0"/>
                <w:sz w:val="24"/>
                <w:lang w:val="en-US" w:eastAsia="zh-CN"/>
              </w:rPr>
              <w:t>站点产能（万立方米/年）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 w:hRule="atLeast"/>
          <w:jc w:val="center"/>
        </w:trPr>
        <w:tc>
          <w:tcPr>
            <w:tcW w:w="75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
                <w:b/>
                <w:color w:val="000000" w:themeColor="text1"/>
                <w:sz w:val="24"/>
                <w14:textFill>
                  <w14:solidFill>
                    <w14:schemeClr w14:val="tx1"/>
                  </w14:solidFill>
                </w14:textFill>
              </w:rPr>
            </w:pPr>
            <w:r>
              <w:rPr>
                <w:rFonts w:ascii="Times New Roman" w:hAnsi="Times New Roman" w:eastAsia="仿宋"/>
                <w:b/>
                <w:color w:val="000000" w:themeColor="text1"/>
                <w:sz w:val="24"/>
                <w14:textFill>
                  <w14:solidFill>
                    <w14:schemeClr w14:val="tx1"/>
                  </w14:solidFill>
                </w14:textFill>
              </w:rPr>
              <w:t>灵山县</w:t>
            </w:r>
          </w:p>
        </w:tc>
        <w:tc>
          <w:tcPr>
            <w:tcW w:w="993"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Times New Roman" w:hAnsi="Times New Roman" w:eastAsia="仿宋"/>
                <w:color w:val="000000" w:themeColor="text1"/>
                <w:sz w:val="24"/>
                <w14:textFill>
                  <w14:solidFill>
                    <w14:schemeClr w14:val="tx1"/>
                  </w14:solidFill>
                </w14:textFill>
              </w:rPr>
            </w:pPr>
            <w:r>
              <w:rPr>
                <w:rFonts w:hint="eastAsia" w:ascii="Times New Roman" w:hAnsi="Times New Roman" w:eastAsia="仿宋"/>
                <w:color w:val="000000" w:themeColor="text1"/>
                <w:sz w:val="24"/>
                <w14:textFill>
                  <w14:solidFill>
                    <w14:schemeClr w14:val="tx1"/>
                  </w14:solidFill>
                </w14:textFill>
              </w:rPr>
              <w:t>281</w:t>
            </w:r>
          </w:p>
        </w:tc>
        <w:tc>
          <w:tcPr>
            <w:tcW w:w="798" w:type="pct"/>
            <w:tcBorders>
              <w:top w:val="single" w:color="auto" w:sz="4" w:space="0"/>
              <w:left w:val="single" w:color="auto" w:sz="4" w:space="0"/>
              <w:right w:val="single" w:color="auto" w:sz="4" w:space="0"/>
            </w:tcBorders>
            <w:shd w:val="clear" w:color="auto" w:fill="auto"/>
            <w:noWrap/>
            <w:vAlign w:val="center"/>
          </w:tcPr>
          <w:p>
            <w:pPr>
              <w:widowControl/>
              <w:jc w:val="center"/>
              <w:textAlignment w:val="center"/>
              <w:rPr>
                <w:rFonts w:ascii="Times New Roman" w:hAnsi="Times New Roman" w:eastAsia="仿宋"/>
                <w:color w:val="000000" w:themeColor="text1"/>
                <w:sz w:val="24"/>
                <w14:textFill>
                  <w14:solidFill>
                    <w14:schemeClr w14:val="tx1"/>
                  </w14:solidFill>
                </w14:textFill>
              </w:rPr>
            </w:pPr>
            <w:r>
              <w:rPr>
                <w:rFonts w:ascii="Times New Roman" w:hAnsi="Times New Roman" w:eastAsia="仿宋"/>
                <w:color w:val="000000" w:themeColor="text1"/>
                <w:sz w:val="24"/>
                <w14:textFill>
                  <w14:solidFill>
                    <w14:schemeClr w14:val="tx1"/>
                  </w14:solidFill>
                </w14:textFill>
              </w:rPr>
              <w:t>660</w:t>
            </w:r>
          </w:p>
        </w:tc>
        <w:tc>
          <w:tcPr>
            <w:tcW w:w="906" w:type="pct"/>
            <w:tcBorders>
              <w:top w:val="single" w:color="auto" w:sz="4" w:space="0"/>
              <w:left w:val="single" w:color="auto" w:sz="4" w:space="0"/>
              <w:right w:val="single" w:color="auto" w:sz="4" w:space="0"/>
            </w:tcBorders>
            <w:shd w:val="clear" w:color="auto" w:fill="auto"/>
            <w:noWrap/>
            <w:vAlign w:val="center"/>
          </w:tcPr>
          <w:p>
            <w:pPr>
              <w:widowControl/>
              <w:jc w:val="center"/>
              <w:textAlignment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14:textFill>
                  <w14:solidFill>
                    <w14:schemeClr w14:val="tx1"/>
                  </w14:solidFill>
                </w14:textFill>
              </w:rPr>
              <w:t>43</w:t>
            </w:r>
          </w:p>
        </w:tc>
        <w:tc>
          <w:tcPr>
            <w:tcW w:w="772" w:type="pct"/>
            <w:tcBorders>
              <w:top w:val="single" w:color="auto" w:sz="4" w:space="0"/>
              <w:left w:val="single" w:color="auto" w:sz="4" w:space="0"/>
              <w:right w:val="single" w:color="auto" w:sz="4" w:space="0"/>
            </w:tcBorders>
            <w:shd w:val="clear" w:color="auto" w:fill="auto"/>
            <w:noWrap/>
            <w:vAlign w:val="center"/>
          </w:tcPr>
          <w:p>
            <w:pPr>
              <w:widowControl/>
              <w:jc w:val="center"/>
              <w:textAlignment w:val="center"/>
              <w:rPr>
                <w:rFonts w:ascii="Times New Roman" w:hAnsi="Times New Roman" w:eastAsia="仿宋"/>
                <w:color w:val="000000" w:themeColor="text1"/>
                <w:sz w:val="24"/>
                <w14:textFill>
                  <w14:solidFill>
                    <w14:schemeClr w14:val="tx1"/>
                  </w14:solidFill>
                </w14:textFill>
              </w:rPr>
            </w:pPr>
            <w:r>
              <w:rPr>
                <w:rFonts w:hint="eastAsia" w:ascii="Times New Roman" w:hAnsi="Times New Roman" w:eastAsia="仿宋"/>
                <w:color w:val="000000" w:themeColor="text1"/>
                <w:sz w:val="24"/>
                <w14:textFill>
                  <w14:solidFill>
                    <w14:schemeClr w14:val="tx1"/>
                  </w14:solidFill>
                </w14:textFill>
              </w:rPr>
              <w:t>3</w:t>
            </w:r>
          </w:p>
        </w:tc>
        <w:tc>
          <w:tcPr>
            <w:tcW w:w="772" w:type="pct"/>
            <w:tcBorders>
              <w:top w:val="single" w:color="auto" w:sz="4" w:space="0"/>
              <w:left w:val="single" w:color="auto" w:sz="4" w:space="0"/>
              <w:right w:val="single" w:color="auto" w:sz="4" w:space="0"/>
            </w:tcBorders>
            <w:shd w:val="clear" w:color="auto" w:fill="auto"/>
            <w:noWrap/>
            <w:vAlign w:val="center"/>
          </w:tcPr>
          <w:p>
            <w:pPr>
              <w:widowControl/>
              <w:jc w:val="center"/>
              <w:textAlignment w:val="center"/>
              <w:rPr>
                <w:rFonts w:hint="default" w:ascii="Times New Roman" w:hAnsi="Times New Roman" w:eastAsia="仿宋"/>
                <w:color w:val="FF0000"/>
                <w:sz w:val="24"/>
                <w:lang w:val="en-US" w:eastAsia="zh-CN"/>
              </w:rPr>
            </w:pPr>
            <w:r>
              <w:rPr>
                <w:rFonts w:hint="eastAsia" w:ascii="Times New Roman" w:hAnsi="Times New Roman" w:eastAsia="仿宋"/>
                <w:color w:val="FF0000"/>
                <w:sz w:val="24"/>
                <w:lang w:val="en-US" w:eastAsia="zh-CN"/>
              </w:rPr>
              <w:t>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75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
                <w:b/>
                <w:color w:val="000000" w:themeColor="text1"/>
                <w:sz w:val="24"/>
                <w14:textFill>
                  <w14:solidFill>
                    <w14:schemeClr w14:val="tx1"/>
                  </w14:solidFill>
                </w14:textFill>
              </w:rPr>
            </w:pPr>
            <w:r>
              <w:rPr>
                <w:rFonts w:ascii="Times New Roman" w:hAnsi="Times New Roman" w:eastAsia="仿宋"/>
                <w:b/>
                <w:color w:val="000000" w:themeColor="text1"/>
                <w:sz w:val="24"/>
                <w14:textFill>
                  <w14:solidFill>
                    <w14:schemeClr w14:val="tx1"/>
                  </w14:solidFill>
                </w14:textFill>
              </w:rPr>
              <w:t>浦北县</w:t>
            </w:r>
          </w:p>
        </w:tc>
        <w:tc>
          <w:tcPr>
            <w:tcW w:w="993"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Times New Roman" w:hAnsi="Times New Roman" w:eastAsia="仿宋"/>
                <w:color w:val="000000" w:themeColor="text1"/>
                <w:sz w:val="24"/>
                <w14:textFill>
                  <w14:solidFill>
                    <w14:schemeClr w14:val="tx1"/>
                  </w14:solidFill>
                </w14:textFill>
              </w:rPr>
            </w:pPr>
            <w:r>
              <w:rPr>
                <w:rFonts w:ascii="Times New Roman" w:hAnsi="Times New Roman" w:eastAsia="仿宋"/>
                <w:color w:val="000000" w:themeColor="text1"/>
                <w:sz w:val="24"/>
                <w14:textFill>
                  <w14:solidFill>
                    <w14:schemeClr w14:val="tx1"/>
                  </w14:solidFill>
                </w14:textFill>
              </w:rPr>
              <w:t>154</w:t>
            </w:r>
          </w:p>
        </w:tc>
        <w:tc>
          <w:tcPr>
            <w:tcW w:w="798" w:type="pct"/>
            <w:tcBorders>
              <w:left w:val="single" w:color="auto" w:sz="4" w:space="0"/>
              <w:right w:val="single" w:color="auto" w:sz="4" w:space="0"/>
            </w:tcBorders>
            <w:shd w:val="clear" w:color="auto" w:fill="auto"/>
            <w:noWrap/>
            <w:vAlign w:val="center"/>
          </w:tcPr>
          <w:p>
            <w:pPr>
              <w:widowControl/>
              <w:jc w:val="center"/>
              <w:textAlignment w:val="center"/>
              <w:rPr>
                <w:rFonts w:ascii="Times New Roman" w:hAnsi="Times New Roman" w:eastAsia="仿宋"/>
                <w:color w:val="000000" w:themeColor="text1"/>
                <w:sz w:val="24"/>
                <w14:textFill>
                  <w14:solidFill>
                    <w14:schemeClr w14:val="tx1"/>
                  </w14:solidFill>
                </w14:textFill>
              </w:rPr>
            </w:pPr>
            <w:r>
              <w:rPr>
                <w:rFonts w:ascii="Times New Roman" w:hAnsi="Times New Roman" w:eastAsia="仿宋"/>
                <w:color w:val="000000" w:themeColor="text1"/>
                <w:sz w:val="24"/>
                <w14:textFill>
                  <w14:solidFill>
                    <w14:schemeClr w14:val="tx1"/>
                  </w14:solidFill>
                </w14:textFill>
              </w:rPr>
              <w:t>290</w:t>
            </w:r>
          </w:p>
        </w:tc>
        <w:tc>
          <w:tcPr>
            <w:tcW w:w="906" w:type="pct"/>
            <w:tcBorders>
              <w:left w:val="single" w:color="auto" w:sz="4" w:space="0"/>
              <w:right w:val="single" w:color="auto" w:sz="4" w:space="0"/>
            </w:tcBorders>
            <w:shd w:val="clear" w:color="auto" w:fill="auto"/>
            <w:noWrap/>
            <w:vAlign w:val="center"/>
          </w:tcPr>
          <w:p>
            <w:pPr>
              <w:widowControl/>
              <w:jc w:val="center"/>
              <w:textAlignment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14:textFill>
                  <w14:solidFill>
                    <w14:schemeClr w14:val="tx1"/>
                  </w14:solidFill>
                </w14:textFill>
              </w:rPr>
              <w:t>0</w:t>
            </w:r>
          </w:p>
        </w:tc>
        <w:tc>
          <w:tcPr>
            <w:tcW w:w="772" w:type="pct"/>
            <w:tcBorders>
              <w:left w:val="single" w:color="auto" w:sz="4" w:space="0"/>
              <w:right w:val="single" w:color="auto" w:sz="4" w:space="0"/>
            </w:tcBorders>
            <w:shd w:val="clear" w:color="auto" w:fill="auto"/>
            <w:noWrap/>
            <w:vAlign w:val="center"/>
          </w:tcPr>
          <w:p>
            <w:pPr>
              <w:widowControl/>
              <w:jc w:val="center"/>
              <w:textAlignment w:val="center"/>
              <w:rPr>
                <w:rFonts w:ascii="Times New Roman" w:hAnsi="Times New Roman" w:eastAsia="仿宋"/>
                <w:color w:val="000000" w:themeColor="text1"/>
                <w:sz w:val="24"/>
                <w14:textFill>
                  <w14:solidFill>
                    <w14:schemeClr w14:val="tx1"/>
                  </w14:solidFill>
                </w14:textFill>
              </w:rPr>
            </w:pPr>
            <w:r>
              <w:rPr>
                <w:rFonts w:hint="eastAsia" w:ascii="Times New Roman" w:hAnsi="Times New Roman" w:eastAsia="仿宋"/>
                <w:color w:val="000000" w:themeColor="text1"/>
                <w:sz w:val="24"/>
                <w14:textFill>
                  <w14:solidFill>
                    <w14:schemeClr w14:val="tx1"/>
                  </w14:solidFill>
                </w14:textFill>
              </w:rPr>
              <w:t>0</w:t>
            </w:r>
          </w:p>
        </w:tc>
        <w:tc>
          <w:tcPr>
            <w:tcW w:w="772" w:type="pct"/>
            <w:tcBorders>
              <w:left w:val="single" w:color="auto" w:sz="4" w:space="0"/>
              <w:right w:val="single" w:color="auto" w:sz="4" w:space="0"/>
            </w:tcBorders>
            <w:shd w:val="clear" w:color="auto" w:fill="auto"/>
            <w:noWrap/>
            <w:vAlign w:val="center"/>
          </w:tcPr>
          <w:p>
            <w:pPr>
              <w:widowControl/>
              <w:jc w:val="center"/>
              <w:textAlignment w:val="center"/>
              <w:rPr>
                <w:rFonts w:hint="eastAsia" w:ascii="Times New Roman" w:hAnsi="Times New Roman" w:eastAsia="仿宋"/>
                <w:color w:val="FF0000"/>
                <w:sz w:val="24"/>
                <w:lang w:val="en-US" w:eastAsia="zh-CN"/>
              </w:rPr>
            </w:pPr>
            <w:r>
              <w:rPr>
                <w:rFonts w:hint="eastAsia" w:ascii="Times New Roman" w:hAnsi="Times New Roman" w:eastAsia="仿宋"/>
                <w:color w:val="FF0000"/>
                <w:sz w:val="24"/>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
                <w:b/>
                <w:color w:val="000000" w:themeColor="text1"/>
                <w:sz w:val="24"/>
                <w14:textFill>
                  <w14:solidFill>
                    <w14:schemeClr w14:val="tx1"/>
                  </w14:solidFill>
                </w14:textFill>
              </w:rPr>
            </w:pPr>
            <w:r>
              <w:rPr>
                <w:rFonts w:ascii="Times New Roman" w:hAnsi="Times New Roman" w:eastAsia="仿宋"/>
                <w:b/>
                <w:color w:val="000000" w:themeColor="text1"/>
                <w:sz w:val="24"/>
                <w14:textFill>
                  <w14:solidFill>
                    <w14:schemeClr w14:val="tx1"/>
                  </w14:solidFill>
                </w14:textFill>
              </w:rPr>
              <w:t>钦南区</w:t>
            </w:r>
          </w:p>
        </w:tc>
        <w:tc>
          <w:tcPr>
            <w:tcW w:w="993"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Times New Roman" w:hAnsi="Times New Roman" w:eastAsia="仿宋"/>
                <w:color w:val="000000" w:themeColor="text1"/>
                <w:sz w:val="24"/>
                <w14:textFill>
                  <w14:solidFill>
                    <w14:schemeClr w14:val="tx1"/>
                  </w14:solidFill>
                </w14:textFill>
              </w:rPr>
            </w:pPr>
            <w:r>
              <w:rPr>
                <w:rFonts w:ascii="Times New Roman" w:hAnsi="Times New Roman" w:eastAsia="仿宋"/>
                <w:color w:val="000000" w:themeColor="text1"/>
                <w:sz w:val="24"/>
                <w14:textFill>
                  <w14:solidFill>
                    <w14:schemeClr w14:val="tx1"/>
                  </w14:solidFill>
                </w14:textFill>
              </w:rPr>
              <w:t>527</w:t>
            </w:r>
          </w:p>
        </w:tc>
        <w:tc>
          <w:tcPr>
            <w:tcW w:w="798" w:type="pct"/>
            <w:tcBorders>
              <w:left w:val="single" w:color="auto" w:sz="4" w:space="0"/>
              <w:right w:val="single" w:color="auto" w:sz="4" w:space="0"/>
            </w:tcBorders>
            <w:shd w:val="clear" w:color="auto" w:fill="auto"/>
            <w:noWrap/>
            <w:vAlign w:val="center"/>
          </w:tcPr>
          <w:p>
            <w:pPr>
              <w:widowControl/>
              <w:jc w:val="center"/>
              <w:textAlignment w:val="center"/>
              <w:rPr>
                <w:rFonts w:ascii="Times New Roman" w:hAnsi="Times New Roman" w:eastAsia="仿宋"/>
                <w:color w:val="000000" w:themeColor="text1"/>
                <w:sz w:val="24"/>
                <w14:textFill>
                  <w14:solidFill>
                    <w14:schemeClr w14:val="tx1"/>
                  </w14:solidFill>
                </w14:textFill>
              </w:rPr>
            </w:pPr>
            <w:r>
              <w:rPr>
                <w:rFonts w:ascii="Times New Roman" w:hAnsi="Times New Roman" w:eastAsia="仿宋"/>
                <w:color w:val="000000" w:themeColor="text1"/>
                <w:sz w:val="24"/>
                <w14:textFill>
                  <w14:solidFill>
                    <w14:schemeClr w14:val="tx1"/>
                  </w14:solidFill>
                </w14:textFill>
              </w:rPr>
              <w:t>12</w:t>
            </w:r>
            <w:r>
              <w:rPr>
                <w:rFonts w:hint="eastAsia" w:ascii="Times New Roman" w:hAnsi="Times New Roman" w:eastAsia="仿宋"/>
                <w:color w:val="000000" w:themeColor="text1"/>
                <w:sz w:val="24"/>
                <w14:textFill>
                  <w14:solidFill>
                    <w14:schemeClr w14:val="tx1"/>
                  </w14:solidFill>
                </w14:textFill>
              </w:rPr>
              <w:t>2</w:t>
            </w:r>
            <w:r>
              <w:rPr>
                <w:rFonts w:ascii="Times New Roman" w:hAnsi="Times New Roman" w:eastAsia="仿宋"/>
                <w:color w:val="000000" w:themeColor="text1"/>
                <w:sz w:val="24"/>
                <w14:textFill>
                  <w14:solidFill>
                    <w14:schemeClr w14:val="tx1"/>
                  </w14:solidFill>
                </w14:textFill>
              </w:rPr>
              <w:t>5</w:t>
            </w:r>
          </w:p>
        </w:tc>
        <w:tc>
          <w:tcPr>
            <w:tcW w:w="906" w:type="pct"/>
            <w:tcBorders>
              <w:left w:val="single" w:color="auto" w:sz="4" w:space="0"/>
              <w:right w:val="single" w:color="auto" w:sz="4" w:space="0"/>
            </w:tcBorders>
            <w:shd w:val="clear" w:color="auto" w:fill="auto"/>
            <w:noWrap/>
            <w:vAlign w:val="center"/>
          </w:tcPr>
          <w:p>
            <w:pPr>
              <w:widowControl/>
              <w:jc w:val="center"/>
              <w:textAlignment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14:textFill>
                  <w14:solidFill>
                    <w14:schemeClr w14:val="tx1"/>
                  </w14:solidFill>
                </w14:textFill>
              </w:rPr>
              <w:t>89</w:t>
            </w:r>
          </w:p>
        </w:tc>
        <w:tc>
          <w:tcPr>
            <w:tcW w:w="772" w:type="pct"/>
            <w:tcBorders>
              <w:left w:val="single" w:color="auto" w:sz="4" w:space="0"/>
              <w:right w:val="single" w:color="auto" w:sz="4" w:space="0"/>
            </w:tcBorders>
            <w:shd w:val="clear" w:color="auto" w:fill="auto"/>
            <w:noWrap/>
            <w:vAlign w:val="center"/>
          </w:tcPr>
          <w:p>
            <w:pPr>
              <w:widowControl/>
              <w:jc w:val="center"/>
              <w:textAlignment w:val="center"/>
              <w:rPr>
                <w:rFonts w:ascii="Times New Roman" w:hAnsi="Times New Roman" w:eastAsia="仿宋"/>
                <w:color w:val="000000" w:themeColor="text1"/>
                <w:sz w:val="24"/>
                <w14:textFill>
                  <w14:solidFill>
                    <w14:schemeClr w14:val="tx1"/>
                  </w14:solidFill>
                </w14:textFill>
              </w:rPr>
            </w:pPr>
            <w:r>
              <w:rPr>
                <w:rFonts w:hint="eastAsia" w:ascii="Times New Roman" w:hAnsi="Times New Roman" w:eastAsia="仿宋"/>
                <w:color w:val="000000" w:themeColor="text1"/>
                <w:sz w:val="24"/>
                <w14:textFill>
                  <w14:solidFill>
                    <w14:schemeClr w14:val="tx1"/>
                  </w14:solidFill>
                </w14:textFill>
              </w:rPr>
              <w:t>9</w:t>
            </w:r>
          </w:p>
        </w:tc>
        <w:tc>
          <w:tcPr>
            <w:tcW w:w="772" w:type="pct"/>
            <w:tcBorders>
              <w:left w:val="single" w:color="auto" w:sz="4" w:space="0"/>
              <w:right w:val="single" w:color="auto" w:sz="4" w:space="0"/>
            </w:tcBorders>
            <w:shd w:val="clear" w:color="auto" w:fill="auto"/>
            <w:noWrap/>
            <w:vAlign w:val="center"/>
          </w:tcPr>
          <w:p>
            <w:pPr>
              <w:widowControl/>
              <w:jc w:val="center"/>
              <w:textAlignment w:val="center"/>
              <w:rPr>
                <w:rFonts w:hint="default" w:ascii="Times New Roman" w:hAnsi="Times New Roman" w:eastAsia="仿宋"/>
                <w:color w:val="FF0000"/>
                <w:sz w:val="24"/>
                <w:lang w:val="en-US" w:eastAsia="zh-CN"/>
              </w:rPr>
            </w:pPr>
            <w:r>
              <w:rPr>
                <w:rFonts w:hint="eastAsia" w:ascii="Times New Roman" w:hAnsi="Times New Roman" w:eastAsia="仿宋"/>
                <w:color w:val="FF0000"/>
                <w:sz w:val="24"/>
                <w:lang w:val="en-US" w:eastAsia="zh-CN"/>
              </w:rPr>
              <w:t>655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
                <w:b/>
                <w:color w:val="000000" w:themeColor="text1"/>
                <w:sz w:val="24"/>
                <w14:textFill>
                  <w14:solidFill>
                    <w14:schemeClr w14:val="tx1"/>
                  </w14:solidFill>
                </w14:textFill>
              </w:rPr>
            </w:pPr>
            <w:r>
              <w:rPr>
                <w:rFonts w:ascii="Times New Roman" w:hAnsi="Times New Roman" w:eastAsia="仿宋"/>
                <w:b/>
                <w:color w:val="000000" w:themeColor="text1"/>
                <w:sz w:val="24"/>
                <w14:textFill>
                  <w14:solidFill>
                    <w14:schemeClr w14:val="tx1"/>
                  </w14:solidFill>
                </w14:textFill>
              </w:rPr>
              <w:t>钦北区</w:t>
            </w:r>
          </w:p>
        </w:tc>
        <w:tc>
          <w:tcPr>
            <w:tcW w:w="993"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Times New Roman" w:hAnsi="Times New Roman" w:eastAsia="仿宋"/>
                <w:color w:val="000000" w:themeColor="text1"/>
                <w:sz w:val="24"/>
                <w14:textFill>
                  <w14:solidFill>
                    <w14:schemeClr w14:val="tx1"/>
                  </w14:solidFill>
                </w14:textFill>
              </w:rPr>
            </w:pPr>
            <w:r>
              <w:rPr>
                <w:rFonts w:hint="eastAsia" w:ascii="Times New Roman" w:hAnsi="Times New Roman" w:eastAsia="仿宋"/>
                <w:color w:val="000000" w:themeColor="text1"/>
                <w:sz w:val="24"/>
                <w14:textFill>
                  <w14:solidFill>
                    <w14:schemeClr w14:val="tx1"/>
                  </w14:solidFill>
                </w14:textFill>
              </w:rPr>
              <w:t>215</w:t>
            </w:r>
          </w:p>
        </w:tc>
        <w:tc>
          <w:tcPr>
            <w:tcW w:w="798" w:type="pct"/>
            <w:tcBorders>
              <w:left w:val="single" w:color="auto" w:sz="4" w:space="0"/>
              <w:right w:val="single" w:color="auto" w:sz="4" w:space="0"/>
            </w:tcBorders>
            <w:shd w:val="clear" w:color="auto" w:fill="auto"/>
            <w:noWrap/>
            <w:vAlign w:val="center"/>
          </w:tcPr>
          <w:p>
            <w:pPr>
              <w:widowControl/>
              <w:jc w:val="center"/>
              <w:textAlignment w:val="center"/>
              <w:rPr>
                <w:rFonts w:ascii="Times New Roman" w:hAnsi="Times New Roman" w:eastAsia="仿宋"/>
                <w:color w:val="000000" w:themeColor="text1"/>
                <w:sz w:val="24"/>
                <w14:textFill>
                  <w14:solidFill>
                    <w14:schemeClr w14:val="tx1"/>
                  </w14:solidFill>
                </w14:textFill>
              </w:rPr>
            </w:pPr>
            <w:r>
              <w:rPr>
                <w:rFonts w:ascii="Times New Roman" w:hAnsi="Times New Roman" w:eastAsia="仿宋"/>
                <w:color w:val="000000" w:themeColor="text1"/>
                <w:sz w:val="24"/>
                <w14:textFill>
                  <w14:solidFill>
                    <w14:schemeClr w14:val="tx1"/>
                  </w14:solidFill>
                </w14:textFill>
              </w:rPr>
              <w:t>390</w:t>
            </w:r>
          </w:p>
        </w:tc>
        <w:tc>
          <w:tcPr>
            <w:tcW w:w="906" w:type="pct"/>
            <w:tcBorders>
              <w:left w:val="single" w:color="auto" w:sz="4" w:space="0"/>
              <w:right w:val="single" w:color="auto" w:sz="4" w:space="0"/>
            </w:tcBorders>
            <w:shd w:val="clear" w:color="auto" w:fill="auto"/>
            <w:noWrap/>
            <w:vAlign w:val="center"/>
          </w:tcPr>
          <w:p>
            <w:pPr>
              <w:widowControl/>
              <w:jc w:val="center"/>
              <w:textAlignment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14:textFill>
                  <w14:solidFill>
                    <w14:schemeClr w14:val="tx1"/>
                  </w14:solidFill>
                </w14:textFill>
              </w:rPr>
              <w:t>42</w:t>
            </w:r>
          </w:p>
        </w:tc>
        <w:tc>
          <w:tcPr>
            <w:tcW w:w="772" w:type="pct"/>
            <w:tcBorders>
              <w:left w:val="single" w:color="auto" w:sz="4" w:space="0"/>
              <w:right w:val="single" w:color="auto" w:sz="4" w:space="0"/>
            </w:tcBorders>
            <w:shd w:val="clear" w:color="auto" w:fill="auto"/>
            <w:noWrap/>
            <w:vAlign w:val="center"/>
          </w:tcPr>
          <w:p>
            <w:pPr>
              <w:widowControl/>
              <w:jc w:val="center"/>
              <w:textAlignment w:val="center"/>
              <w:rPr>
                <w:rFonts w:ascii="Times New Roman" w:hAnsi="Times New Roman" w:eastAsia="仿宋"/>
                <w:color w:val="000000" w:themeColor="text1"/>
                <w:sz w:val="24"/>
                <w14:textFill>
                  <w14:solidFill>
                    <w14:schemeClr w14:val="tx1"/>
                  </w14:solidFill>
                </w14:textFill>
              </w:rPr>
            </w:pPr>
            <w:r>
              <w:rPr>
                <w:rFonts w:hint="eastAsia" w:ascii="Times New Roman" w:hAnsi="Times New Roman" w:eastAsia="仿宋"/>
                <w:color w:val="000000" w:themeColor="text1"/>
                <w:sz w:val="24"/>
                <w14:textFill>
                  <w14:solidFill>
                    <w14:schemeClr w14:val="tx1"/>
                  </w14:solidFill>
                </w14:textFill>
              </w:rPr>
              <w:t>6</w:t>
            </w:r>
          </w:p>
        </w:tc>
        <w:tc>
          <w:tcPr>
            <w:tcW w:w="772" w:type="pct"/>
            <w:tcBorders>
              <w:left w:val="single" w:color="auto" w:sz="4" w:space="0"/>
              <w:right w:val="single" w:color="auto" w:sz="4" w:space="0"/>
            </w:tcBorders>
            <w:shd w:val="clear" w:color="auto" w:fill="auto"/>
            <w:noWrap/>
            <w:vAlign w:val="center"/>
          </w:tcPr>
          <w:p>
            <w:pPr>
              <w:widowControl/>
              <w:jc w:val="center"/>
              <w:textAlignment w:val="center"/>
              <w:rPr>
                <w:rFonts w:hint="default" w:ascii="Times New Roman" w:hAnsi="Times New Roman" w:eastAsia="仿宋"/>
                <w:color w:val="FF0000"/>
                <w:sz w:val="24"/>
                <w:lang w:val="en-US" w:eastAsia="zh-CN"/>
              </w:rPr>
            </w:pPr>
            <w:r>
              <w:rPr>
                <w:rFonts w:hint="eastAsia" w:ascii="Times New Roman" w:hAnsi="Times New Roman" w:eastAsia="仿宋"/>
                <w:color w:val="FF0000"/>
                <w:sz w:val="24"/>
                <w:lang w:val="en-US" w:eastAsia="zh-CN"/>
              </w:rPr>
              <w:t>370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
                <w:b/>
                <w:color w:val="000000" w:themeColor="text1"/>
                <w:sz w:val="24"/>
                <w14:textFill>
                  <w14:solidFill>
                    <w14:schemeClr w14:val="tx1"/>
                  </w14:solidFill>
                </w14:textFill>
              </w:rPr>
            </w:pPr>
            <w:r>
              <w:rPr>
                <w:rFonts w:hint="eastAsia" w:ascii="Times New Roman" w:hAnsi="Times New Roman" w:eastAsia="仿宋"/>
                <w:b/>
                <w:color w:val="000000" w:themeColor="text1"/>
                <w:sz w:val="24"/>
                <w14:textFill>
                  <w14:solidFill>
                    <w14:schemeClr w14:val="tx1"/>
                  </w14:solidFill>
                </w14:textFill>
              </w:rPr>
              <w:t>合计</w:t>
            </w:r>
          </w:p>
        </w:tc>
        <w:tc>
          <w:tcPr>
            <w:tcW w:w="993"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Times New Roman" w:hAnsi="Times New Roman" w:eastAsia="仿宋"/>
                <w:color w:val="000000" w:themeColor="text1"/>
                <w:sz w:val="24"/>
                <w14:textFill>
                  <w14:solidFill>
                    <w14:schemeClr w14:val="tx1"/>
                  </w14:solidFill>
                </w14:textFill>
              </w:rPr>
            </w:pPr>
            <w:r>
              <w:rPr>
                <w:rFonts w:hint="eastAsia" w:ascii="Times New Roman" w:hAnsi="Times New Roman" w:eastAsia="仿宋"/>
                <w:color w:val="000000" w:themeColor="text1"/>
                <w:sz w:val="24"/>
                <w14:textFill>
                  <w14:solidFill>
                    <w14:schemeClr w14:val="tx1"/>
                  </w14:solidFill>
                </w14:textFill>
              </w:rPr>
              <w:t>1177</w:t>
            </w:r>
          </w:p>
        </w:tc>
        <w:tc>
          <w:tcPr>
            <w:tcW w:w="798" w:type="pct"/>
            <w:tcBorders>
              <w:left w:val="single" w:color="auto" w:sz="4" w:space="0"/>
              <w:right w:val="single" w:color="auto" w:sz="4" w:space="0"/>
            </w:tcBorders>
            <w:shd w:val="clear" w:color="auto" w:fill="auto"/>
            <w:noWrap/>
            <w:vAlign w:val="center"/>
          </w:tcPr>
          <w:p>
            <w:pPr>
              <w:widowControl/>
              <w:jc w:val="center"/>
              <w:textAlignment w:val="center"/>
              <w:rPr>
                <w:rFonts w:ascii="Times New Roman" w:hAnsi="Times New Roman" w:eastAsia="仿宋"/>
                <w:color w:val="000000" w:themeColor="text1"/>
                <w:sz w:val="24"/>
                <w14:textFill>
                  <w14:solidFill>
                    <w14:schemeClr w14:val="tx1"/>
                  </w14:solidFill>
                </w14:textFill>
              </w:rPr>
            </w:pPr>
            <w:r>
              <w:rPr>
                <w:rFonts w:hint="eastAsia" w:ascii="Times New Roman" w:hAnsi="Times New Roman" w:eastAsia="仿宋"/>
                <w:color w:val="000000" w:themeColor="text1"/>
                <w:sz w:val="24"/>
                <w14:textFill>
                  <w14:solidFill>
                    <w14:schemeClr w14:val="tx1"/>
                  </w14:solidFill>
                </w14:textFill>
              </w:rPr>
              <w:t>2565</w:t>
            </w:r>
          </w:p>
        </w:tc>
        <w:tc>
          <w:tcPr>
            <w:tcW w:w="906" w:type="pct"/>
            <w:tcBorders>
              <w:left w:val="single" w:color="auto" w:sz="4" w:space="0"/>
              <w:right w:val="single" w:color="auto" w:sz="4" w:space="0"/>
            </w:tcBorders>
            <w:shd w:val="clear" w:color="auto" w:fill="auto"/>
            <w:noWrap/>
            <w:vAlign w:val="center"/>
          </w:tcPr>
          <w:p>
            <w:pPr>
              <w:widowControl/>
              <w:jc w:val="center"/>
              <w:textAlignment w:val="center"/>
              <w:rPr>
                <w:rFonts w:ascii="Times New Roman" w:hAnsi="Times New Roman" w:eastAsia="仿宋"/>
                <w:color w:val="000000" w:themeColor="text1"/>
                <w:sz w:val="24"/>
                <w14:textFill>
                  <w14:solidFill>
                    <w14:schemeClr w14:val="tx1"/>
                  </w14:solidFill>
                </w14:textFill>
              </w:rPr>
            </w:pPr>
            <w:r>
              <w:rPr>
                <w:rFonts w:hint="eastAsia" w:ascii="Times New Roman" w:hAnsi="Times New Roman" w:eastAsia="仿宋"/>
                <w:color w:val="000000" w:themeColor="text1"/>
                <w:sz w:val="24"/>
                <w14:textFill>
                  <w14:solidFill>
                    <w14:schemeClr w14:val="tx1"/>
                  </w14:solidFill>
                </w14:textFill>
              </w:rPr>
              <w:t>174</w:t>
            </w:r>
          </w:p>
        </w:tc>
        <w:tc>
          <w:tcPr>
            <w:tcW w:w="772" w:type="pct"/>
            <w:tcBorders>
              <w:left w:val="single" w:color="auto" w:sz="4" w:space="0"/>
              <w:right w:val="single" w:color="auto" w:sz="4" w:space="0"/>
            </w:tcBorders>
            <w:shd w:val="clear" w:color="auto" w:fill="auto"/>
            <w:noWrap/>
            <w:vAlign w:val="center"/>
          </w:tcPr>
          <w:p>
            <w:pPr>
              <w:widowControl/>
              <w:jc w:val="center"/>
              <w:textAlignment w:val="center"/>
              <w:rPr>
                <w:rFonts w:ascii="Times New Roman" w:hAnsi="Times New Roman" w:eastAsia="仿宋"/>
                <w:color w:val="000000" w:themeColor="text1"/>
                <w:sz w:val="24"/>
                <w14:textFill>
                  <w14:solidFill>
                    <w14:schemeClr w14:val="tx1"/>
                  </w14:solidFill>
                </w14:textFill>
              </w:rPr>
            </w:pPr>
            <w:r>
              <w:rPr>
                <w:rFonts w:hint="eastAsia" w:ascii="Times New Roman" w:hAnsi="Times New Roman" w:eastAsia="仿宋"/>
                <w:color w:val="000000" w:themeColor="text1"/>
                <w:sz w:val="24"/>
                <w14:textFill>
                  <w14:solidFill>
                    <w14:schemeClr w14:val="tx1"/>
                  </w14:solidFill>
                </w14:textFill>
              </w:rPr>
              <w:t>18</w:t>
            </w:r>
          </w:p>
        </w:tc>
        <w:tc>
          <w:tcPr>
            <w:tcW w:w="772" w:type="pct"/>
            <w:tcBorders>
              <w:left w:val="single" w:color="auto" w:sz="4" w:space="0"/>
              <w:right w:val="single" w:color="auto" w:sz="4" w:space="0"/>
            </w:tcBorders>
            <w:shd w:val="clear" w:color="auto" w:fill="auto"/>
            <w:noWrap/>
            <w:vAlign w:val="center"/>
          </w:tcPr>
          <w:p>
            <w:pPr>
              <w:widowControl/>
              <w:jc w:val="center"/>
              <w:textAlignment w:val="center"/>
              <w:rPr>
                <w:rFonts w:hint="default" w:ascii="Times New Roman" w:hAnsi="Times New Roman" w:eastAsia="仿宋"/>
                <w:color w:val="FF0000"/>
                <w:sz w:val="24"/>
                <w:lang w:val="en-US" w:eastAsia="zh-CN"/>
              </w:rPr>
            </w:pPr>
            <w:r>
              <w:rPr>
                <w:rFonts w:hint="eastAsia" w:ascii="Times New Roman" w:hAnsi="Times New Roman" w:eastAsia="仿宋"/>
                <w:color w:val="FF0000"/>
                <w:sz w:val="24"/>
                <w:lang w:val="en-US" w:eastAsia="zh-CN"/>
              </w:rPr>
              <w:t>1135</w:t>
            </w:r>
          </w:p>
        </w:tc>
      </w:tr>
    </w:tbl>
    <w:p>
      <w:pPr>
        <w:ind w:firstLine="640" w:firstLineChars="200"/>
        <w:rPr>
          <w:rFonts w:ascii="Times New Roman" w:hAnsi="Times New Roman" w:eastAsia="仿宋"/>
          <w:color w:val="000000" w:themeColor="text1"/>
          <w:sz w:val="32"/>
          <w:szCs w:val="32"/>
          <w14:textFill>
            <w14:solidFill>
              <w14:schemeClr w14:val="tx1"/>
            </w14:solidFill>
          </w14:textFill>
        </w:rPr>
      </w:pPr>
    </w:p>
    <w:p>
      <w:pPr>
        <w:ind w:firstLine="640" w:firstLineChars="200"/>
        <w:rPr>
          <w:rFonts w:ascii="Times New Roman" w:hAnsi="Times New Roman" w:eastAsia="仿宋"/>
          <w:color w:val="000000" w:themeColor="text1"/>
          <w:sz w:val="32"/>
          <w:szCs w:val="32"/>
          <w14:textFill>
            <w14:solidFill>
              <w14:schemeClr w14:val="tx1"/>
            </w14:solidFill>
          </w14:textFill>
        </w:rPr>
      </w:pPr>
      <w:r>
        <w:rPr>
          <w:rFonts w:hint="eastAsia" w:ascii="Times New Roman" w:hAnsi="Times New Roman" w:eastAsia="仿宋"/>
          <w:color w:val="000000" w:themeColor="text1"/>
          <w:sz w:val="32"/>
          <w:szCs w:val="32"/>
          <w14:textFill>
            <w14:solidFill>
              <w14:schemeClr w14:val="tx1"/>
            </w14:solidFill>
          </w14:textFill>
        </w:rPr>
        <w:t>建筑砂浆使用量与房屋施工面积息息相关，根据近年钦州市房屋施工面积变化情况以及预拌砂浆发展现状和目标分析，预测2025年全市预拌砂浆的需求量，结果如表2-3所示。</w:t>
      </w:r>
    </w:p>
    <w:p>
      <w:pPr>
        <w:adjustRightInd w:val="0"/>
        <w:snapToGrid w:val="0"/>
        <w:jc w:val="center"/>
        <w:rPr>
          <w:rFonts w:ascii="Times New Roman" w:hAnsi="Times New Roman" w:eastAsia="仿宋"/>
          <w:b/>
          <w:bCs/>
          <w:color w:val="000000" w:themeColor="text1"/>
          <w:sz w:val="24"/>
          <w:szCs w:val="24"/>
          <w14:textFill>
            <w14:solidFill>
              <w14:schemeClr w14:val="tx1"/>
            </w14:solidFill>
          </w14:textFill>
        </w:rPr>
      </w:pPr>
      <w:r>
        <w:rPr>
          <w:rFonts w:hint="eastAsia" w:ascii="Times New Roman" w:hAnsi="Times New Roman" w:eastAsia="仿宋"/>
          <w:b/>
          <w:bCs/>
          <w:color w:val="000000" w:themeColor="text1"/>
          <w:sz w:val="24"/>
          <w:szCs w:val="24"/>
          <w14:textFill>
            <w14:solidFill>
              <w14:schemeClr w14:val="tx1"/>
            </w14:solidFill>
          </w14:textFill>
        </w:rPr>
        <w:t>表2-3  2025年钦州市预拌砂浆需求量预测结果</w:t>
      </w:r>
    </w:p>
    <w:tbl>
      <w:tblPr>
        <w:tblStyle w:val="1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823"/>
        <w:gridCol w:w="3414"/>
        <w:gridCol w:w="20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1" w:hRule="atLeast"/>
        </w:trPr>
        <w:tc>
          <w:tcPr>
            <w:tcW w:w="1693" w:type="pct"/>
            <w:tcMar>
              <w:top w:w="15" w:type="dxa"/>
              <w:left w:w="15" w:type="dxa"/>
              <w:right w:w="15" w:type="dxa"/>
            </w:tcMar>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p>
        </w:tc>
        <w:tc>
          <w:tcPr>
            <w:tcW w:w="2048" w:type="pct"/>
            <w:tcMar>
              <w:top w:w="15" w:type="dxa"/>
              <w:left w:w="15" w:type="dxa"/>
              <w:right w:w="15" w:type="dxa"/>
            </w:tcMar>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2022年</w:t>
            </w:r>
          </w:p>
        </w:tc>
        <w:tc>
          <w:tcPr>
            <w:tcW w:w="1257" w:type="pct"/>
            <w:tcMar>
              <w:top w:w="15" w:type="dxa"/>
              <w:left w:w="15" w:type="dxa"/>
              <w:right w:w="15" w:type="dxa"/>
            </w:tcMar>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2025年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693" w:type="pct"/>
            <w:tcMar>
              <w:top w:w="15" w:type="dxa"/>
              <w:left w:w="15" w:type="dxa"/>
              <w:right w:w="15" w:type="dxa"/>
            </w:tcMar>
            <w:vAlign w:val="center"/>
          </w:tcPr>
          <w:p>
            <w:pPr>
              <w:adjustRightInd w:val="0"/>
              <w:snapToGrid w:val="0"/>
              <w:jc w:val="center"/>
              <w:rPr>
                <w:rFonts w:ascii="Times New Roman" w:hAnsi="Times New Roman" w:eastAsia="仿宋"/>
                <w:b/>
                <w:bCs/>
                <w:color w:val="000000" w:themeColor="text1"/>
                <w:sz w:val="24"/>
                <w:szCs w:val="24"/>
                <w14:textFill>
                  <w14:solidFill>
                    <w14:schemeClr w14:val="tx1"/>
                  </w14:solidFill>
                </w14:textFill>
              </w:rPr>
            </w:pPr>
            <w:r>
              <w:rPr>
                <w:rFonts w:hint="eastAsia" w:ascii="Times New Roman" w:hAnsi="Times New Roman" w:eastAsia="仿宋"/>
                <w:b/>
                <w:bCs/>
                <w:color w:val="000000" w:themeColor="text1"/>
                <w:sz w:val="24"/>
                <w:szCs w:val="24"/>
                <w14:textFill>
                  <w14:solidFill>
                    <w14:schemeClr w14:val="tx1"/>
                  </w14:solidFill>
                </w14:textFill>
              </w:rPr>
              <w:t>建筑砂浆需求总量  万吨</w:t>
            </w:r>
          </w:p>
        </w:tc>
        <w:tc>
          <w:tcPr>
            <w:tcW w:w="2048" w:type="pct"/>
            <w:tcMar>
              <w:top w:w="15" w:type="dxa"/>
              <w:left w:w="15" w:type="dxa"/>
              <w:right w:w="15" w:type="dxa"/>
            </w:tcMar>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284</w:t>
            </w:r>
          </w:p>
        </w:tc>
        <w:tc>
          <w:tcPr>
            <w:tcW w:w="1257" w:type="pct"/>
            <w:tcMar>
              <w:top w:w="15" w:type="dxa"/>
              <w:left w:w="15" w:type="dxa"/>
              <w:right w:w="15" w:type="dxa"/>
            </w:tcMar>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365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693" w:type="pct"/>
            <w:tcMar>
              <w:top w:w="15" w:type="dxa"/>
              <w:left w:w="15" w:type="dxa"/>
              <w:right w:w="15" w:type="dxa"/>
            </w:tcMar>
            <w:vAlign w:val="center"/>
          </w:tcPr>
          <w:p>
            <w:pPr>
              <w:adjustRightInd w:val="0"/>
              <w:snapToGrid w:val="0"/>
              <w:jc w:val="center"/>
              <w:rPr>
                <w:rFonts w:ascii="Times New Roman" w:hAnsi="Times New Roman" w:eastAsia="仿宋"/>
                <w:b/>
                <w:bCs/>
                <w:color w:val="000000" w:themeColor="text1"/>
                <w:sz w:val="24"/>
                <w:szCs w:val="24"/>
                <w14:textFill>
                  <w14:solidFill>
                    <w14:schemeClr w14:val="tx1"/>
                  </w14:solidFill>
                </w14:textFill>
              </w:rPr>
            </w:pPr>
            <w:r>
              <w:rPr>
                <w:rFonts w:hint="eastAsia" w:ascii="Times New Roman" w:hAnsi="Times New Roman" w:eastAsia="仿宋"/>
                <w:b/>
                <w:bCs/>
                <w:color w:val="000000" w:themeColor="text1"/>
                <w:sz w:val="24"/>
                <w:szCs w:val="24"/>
                <w14:textFill>
                  <w14:solidFill>
                    <w14:schemeClr w14:val="tx1"/>
                  </w14:solidFill>
                </w14:textFill>
              </w:rPr>
              <w:t>预拌砂浆的使用率  %</w:t>
            </w:r>
          </w:p>
        </w:tc>
        <w:tc>
          <w:tcPr>
            <w:tcW w:w="2048" w:type="pct"/>
            <w:tcMar>
              <w:top w:w="15" w:type="dxa"/>
              <w:left w:w="15" w:type="dxa"/>
              <w:right w:w="15" w:type="dxa"/>
            </w:tcMar>
            <w:vAlign w:val="center"/>
          </w:tcPr>
          <w:p>
            <w:pPr>
              <w:adjustRightInd w:val="0"/>
              <w:snapToGrid w:val="0"/>
              <w:jc w:val="center"/>
              <w:rPr>
                <w:rFonts w:hint="default" w:ascii="Times New Roman" w:hAnsi="Times New Roman" w:eastAsia="仿宋"/>
                <w:color w:val="FF0000"/>
                <w:sz w:val="24"/>
                <w:szCs w:val="24"/>
                <w:lang w:val="en-US" w:eastAsia="zh-CN"/>
              </w:rPr>
            </w:pPr>
            <w:r>
              <w:rPr>
                <w:rFonts w:hint="eastAsia" w:ascii="Times New Roman" w:hAnsi="Times New Roman" w:eastAsia="仿宋"/>
                <w:color w:val="FF0000"/>
                <w:sz w:val="24"/>
                <w:szCs w:val="24"/>
                <w:lang w:val="en-US" w:eastAsia="zh-CN"/>
              </w:rPr>
              <w:t>35</w:t>
            </w:r>
          </w:p>
        </w:tc>
        <w:tc>
          <w:tcPr>
            <w:tcW w:w="1257" w:type="pct"/>
            <w:tcMar>
              <w:top w:w="15" w:type="dxa"/>
              <w:left w:w="15" w:type="dxa"/>
              <w:right w:w="15" w:type="dxa"/>
            </w:tcMar>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693" w:type="pct"/>
            <w:tcMar>
              <w:top w:w="15" w:type="dxa"/>
              <w:left w:w="15" w:type="dxa"/>
              <w:right w:w="15" w:type="dxa"/>
            </w:tcMar>
            <w:vAlign w:val="center"/>
          </w:tcPr>
          <w:p>
            <w:pPr>
              <w:adjustRightInd w:val="0"/>
              <w:snapToGrid w:val="0"/>
              <w:jc w:val="center"/>
              <w:rPr>
                <w:rFonts w:ascii="Times New Roman" w:hAnsi="Times New Roman" w:eastAsia="仿宋"/>
                <w:b/>
                <w:bCs/>
                <w:color w:val="000000" w:themeColor="text1"/>
                <w:sz w:val="24"/>
                <w:szCs w:val="24"/>
                <w14:textFill>
                  <w14:solidFill>
                    <w14:schemeClr w14:val="tx1"/>
                  </w14:solidFill>
                </w14:textFill>
              </w:rPr>
            </w:pPr>
            <w:r>
              <w:rPr>
                <w:rFonts w:hint="eastAsia" w:ascii="Times New Roman" w:hAnsi="Times New Roman" w:eastAsia="仿宋"/>
                <w:b/>
                <w:bCs/>
                <w:color w:val="000000" w:themeColor="text1"/>
                <w:sz w:val="24"/>
                <w:szCs w:val="24"/>
                <w14:textFill>
                  <w14:solidFill>
                    <w14:schemeClr w14:val="tx1"/>
                  </w14:solidFill>
                </w14:textFill>
              </w:rPr>
              <w:t>预拌砂浆需求量  万吨</w:t>
            </w:r>
          </w:p>
        </w:tc>
        <w:tc>
          <w:tcPr>
            <w:tcW w:w="2048" w:type="pct"/>
            <w:tcMar>
              <w:top w:w="15" w:type="dxa"/>
              <w:left w:w="15" w:type="dxa"/>
              <w:right w:w="15" w:type="dxa"/>
            </w:tcMar>
            <w:vAlign w:val="center"/>
          </w:tcPr>
          <w:p>
            <w:pPr>
              <w:adjustRightInd w:val="0"/>
              <w:snapToGrid w:val="0"/>
              <w:jc w:val="center"/>
              <w:rPr>
                <w:rFonts w:hint="default" w:ascii="Times New Roman" w:hAnsi="Times New Roman" w:eastAsia="仿宋"/>
                <w:color w:val="FF0000"/>
                <w:sz w:val="24"/>
                <w:szCs w:val="24"/>
                <w:lang w:val="en-US" w:eastAsia="zh-CN"/>
              </w:rPr>
            </w:pPr>
            <w:r>
              <w:rPr>
                <w:rFonts w:hint="eastAsia" w:ascii="Times New Roman" w:hAnsi="Times New Roman" w:eastAsia="仿宋"/>
                <w:color w:val="FF0000"/>
                <w:sz w:val="24"/>
                <w:szCs w:val="24"/>
                <w:lang w:val="en-US" w:eastAsia="zh-CN"/>
              </w:rPr>
              <w:t>100</w:t>
            </w:r>
          </w:p>
        </w:tc>
        <w:tc>
          <w:tcPr>
            <w:tcW w:w="1257" w:type="pct"/>
            <w:tcMar>
              <w:top w:w="15" w:type="dxa"/>
              <w:left w:w="15" w:type="dxa"/>
              <w:right w:w="15" w:type="dxa"/>
            </w:tcMar>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256</w:t>
            </w:r>
          </w:p>
        </w:tc>
      </w:tr>
    </w:tbl>
    <w:p>
      <w:pPr>
        <w:pStyle w:val="2"/>
        <w:rPr>
          <w:color w:val="000000" w:themeColor="text1"/>
          <w14:textFill>
            <w14:solidFill>
              <w14:schemeClr w14:val="tx1"/>
            </w14:solidFill>
          </w14:textFill>
        </w:rPr>
      </w:pPr>
    </w:p>
    <w:p>
      <w:pPr>
        <w:pStyle w:val="2"/>
        <w:ind w:firstLine="640" w:firstLineChars="200"/>
        <w:rPr>
          <w:rFonts w:ascii="Times New Roman" w:hAnsi="Times New Roman" w:eastAsia="仿宋"/>
          <w:color w:val="000000" w:themeColor="text1"/>
          <w:sz w:val="32"/>
          <w:szCs w:val="32"/>
          <w14:textFill>
            <w14:solidFill>
              <w14:schemeClr w14:val="tx1"/>
            </w14:solidFill>
          </w14:textFill>
        </w:rPr>
        <w:sectPr>
          <w:pgSz w:w="11906" w:h="16838"/>
          <w:pgMar w:top="1440" w:right="1800" w:bottom="1440" w:left="1800" w:header="851" w:footer="992" w:gutter="0"/>
          <w:cols w:space="425" w:num="1"/>
          <w:docGrid w:type="lines" w:linePitch="312" w:charSpace="0"/>
        </w:sectPr>
      </w:pPr>
    </w:p>
    <w:bookmarkEnd w:id="0"/>
    <w:p>
      <w:pPr>
        <w:pStyle w:val="2"/>
        <w:ind w:left="0"/>
        <w:jc w:val="center"/>
        <w:outlineLvl w:val="0"/>
        <w:rPr>
          <w:rFonts w:ascii="Times New Roman" w:hAnsi="Times New Roman" w:eastAsia="黑体"/>
          <w:color w:val="000000" w:themeColor="text1"/>
          <w:kern w:val="0"/>
          <w:sz w:val="36"/>
          <w:szCs w:val="36"/>
          <w:lang w:bidi="ar"/>
          <w14:textFill>
            <w14:solidFill>
              <w14:schemeClr w14:val="tx1"/>
            </w14:solidFill>
          </w14:textFill>
        </w:rPr>
      </w:pPr>
      <w:bookmarkStart w:id="52" w:name="_Toc4071"/>
      <w:bookmarkStart w:id="53" w:name="_Toc89203777"/>
      <w:bookmarkStart w:id="54" w:name="_Toc30340"/>
      <w:bookmarkStart w:id="55" w:name="_Toc4860"/>
      <w:bookmarkStart w:id="56" w:name="_Toc6943"/>
      <w:bookmarkStart w:id="57" w:name="_Toc11126"/>
      <w:bookmarkStart w:id="58" w:name="_Toc23242"/>
      <w:bookmarkStart w:id="59" w:name="_Toc22705"/>
      <w:bookmarkStart w:id="60" w:name="_Toc15405"/>
      <w:bookmarkStart w:id="61" w:name="_Toc29618"/>
      <w:bookmarkStart w:id="62" w:name="_Toc13624"/>
      <w:bookmarkStart w:id="63" w:name="_Toc27456"/>
      <w:bookmarkStart w:id="64" w:name="_Toc26126"/>
      <w:bookmarkStart w:id="65" w:name="_Toc16025"/>
      <w:bookmarkStart w:id="66" w:name="_Toc21441"/>
      <w:r>
        <w:rPr>
          <w:rFonts w:ascii="Times New Roman" w:hAnsi="Times New Roman" w:eastAsia="黑体"/>
          <w:color w:val="000000" w:themeColor="text1"/>
          <w:kern w:val="0"/>
          <w:sz w:val="36"/>
          <w:szCs w:val="36"/>
          <w:lang w:bidi="ar"/>
          <w14:textFill>
            <w14:solidFill>
              <w14:schemeClr w14:val="tx1"/>
            </w14:solidFill>
          </w14:textFill>
        </w:rPr>
        <w:t>第三章</w:t>
      </w:r>
      <w:r>
        <w:rPr>
          <w:rFonts w:hint="eastAsia" w:ascii="Times New Roman" w:hAnsi="Times New Roman" w:eastAsia="黑体"/>
          <w:color w:val="000000" w:themeColor="text1"/>
          <w:kern w:val="0"/>
          <w:sz w:val="36"/>
          <w:szCs w:val="36"/>
          <w:lang w:bidi="ar"/>
          <w14:textFill>
            <w14:solidFill>
              <w14:schemeClr w14:val="tx1"/>
            </w14:solidFill>
          </w14:textFill>
        </w:rPr>
        <w:t xml:space="preserve">  </w:t>
      </w:r>
      <w:r>
        <w:rPr>
          <w:rFonts w:ascii="Times New Roman" w:hAnsi="Times New Roman" w:eastAsia="黑体"/>
          <w:color w:val="000000" w:themeColor="text1"/>
          <w:kern w:val="0"/>
          <w:sz w:val="36"/>
          <w:szCs w:val="36"/>
          <w:lang w:bidi="ar"/>
          <w14:textFill>
            <w14:solidFill>
              <w14:schemeClr w14:val="tx1"/>
            </w14:solidFill>
          </w14:textFill>
        </w:rPr>
        <w:t>总体要求</w:t>
      </w:r>
      <w:bookmarkEnd w:id="52"/>
      <w:bookmarkEnd w:id="53"/>
      <w:bookmarkEnd w:id="54"/>
      <w:bookmarkEnd w:id="55"/>
      <w:bookmarkEnd w:id="56"/>
    </w:p>
    <w:p>
      <w:pPr>
        <w:keepNext/>
        <w:keepLines/>
        <w:adjustRightInd w:val="0"/>
        <w:snapToGrid w:val="0"/>
        <w:spacing w:line="360" w:lineRule="auto"/>
        <w:ind w:firstLine="640" w:firstLineChars="200"/>
        <w:outlineLvl w:val="1"/>
        <w:rPr>
          <w:rFonts w:ascii="Times New Roman" w:hAnsi="Times New Roman" w:eastAsia="黑体"/>
          <w:bCs/>
          <w:color w:val="000000" w:themeColor="text1"/>
          <w:sz w:val="32"/>
          <w:szCs w:val="26"/>
          <w14:textFill>
            <w14:solidFill>
              <w14:schemeClr w14:val="tx1"/>
            </w14:solidFill>
          </w14:textFill>
        </w:rPr>
      </w:pPr>
      <w:bookmarkStart w:id="67" w:name="_Toc7264"/>
      <w:bookmarkStart w:id="68" w:name="_Toc17259"/>
      <w:bookmarkStart w:id="69" w:name="_Toc89203778"/>
      <w:bookmarkStart w:id="70" w:name="_Toc24011"/>
      <w:bookmarkStart w:id="71" w:name="_Toc27810"/>
      <w:r>
        <w:rPr>
          <w:rFonts w:ascii="Times New Roman" w:hAnsi="Times New Roman" w:eastAsia="黑体"/>
          <w:bCs/>
          <w:color w:val="000000" w:themeColor="text1"/>
          <w:sz w:val="32"/>
          <w:szCs w:val="26"/>
          <w14:textFill>
            <w14:solidFill>
              <w14:schemeClr w14:val="tx1"/>
            </w14:solidFill>
          </w14:textFill>
        </w:rPr>
        <w:t>一、指导思想</w:t>
      </w:r>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p>
    <w:p>
      <w:pPr>
        <w:adjustRightInd w:val="0"/>
        <w:snapToGrid w:val="0"/>
        <w:spacing w:line="360" w:lineRule="auto"/>
        <w:ind w:firstLine="640" w:firstLineChars="200"/>
        <w:rPr>
          <w:rFonts w:ascii="Times New Roman" w:hAnsi="Times New Roman" w:eastAsia="仿宋"/>
          <w:color w:val="000000" w:themeColor="text1"/>
          <w:kern w:val="0"/>
          <w:sz w:val="32"/>
          <w:szCs w:val="32"/>
          <w14:textFill>
            <w14:solidFill>
              <w14:schemeClr w14:val="tx1"/>
            </w14:solidFill>
          </w14:textFill>
        </w:rPr>
      </w:pPr>
      <w:r>
        <w:rPr>
          <w:rFonts w:ascii="Times New Roman" w:hAnsi="Times New Roman" w:eastAsia="仿宋"/>
          <w:color w:val="000000" w:themeColor="text1"/>
          <w:kern w:val="0"/>
          <w:sz w:val="32"/>
          <w:szCs w:val="32"/>
          <w14:textFill>
            <w14:solidFill>
              <w14:schemeClr w14:val="tx1"/>
            </w14:solidFill>
          </w14:textFill>
        </w:rPr>
        <w:t>坚持以习近平新时代中国特色社会主义思想为指导</w:t>
      </w:r>
      <w:r>
        <w:rPr>
          <w:rFonts w:hint="eastAsia" w:ascii="Times New Roman" w:hAnsi="Times New Roman" w:eastAsia="仿宋"/>
          <w:color w:val="000000" w:themeColor="text1"/>
          <w:kern w:val="0"/>
          <w:sz w:val="32"/>
          <w:szCs w:val="32"/>
          <w14:textFill>
            <w14:solidFill>
              <w14:schemeClr w14:val="tx1"/>
            </w14:solidFill>
          </w14:textFill>
        </w:rPr>
        <w:t>，</w:t>
      </w:r>
      <w:r>
        <w:rPr>
          <w:rFonts w:ascii="Times New Roman" w:hAnsi="Times New Roman" w:eastAsia="仿宋"/>
          <w:color w:val="000000" w:themeColor="text1"/>
          <w:kern w:val="0"/>
          <w:sz w:val="32"/>
          <w:szCs w:val="32"/>
          <w14:textFill>
            <w14:solidFill>
              <w14:schemeClr w14:val="tx1"/>
            </w14:solidFill>
          </w14:textFill>
        </w:rPr>
        <w:t>全面贯彻中国共产党十九大和十九届历次全会精神</w:t>
      </w:r>
      <w:r>
        <w:rPr>
          <w:rFonts w:hint="eastAsia" w:ascii="Times New Roman" w:hAnsi="Times New Roman" w:eastAsia="仿宋"/>
          <w:color w:val="000000" w:themeColor="text1"/>
          <w:kern w:val="0"/>
          <w:sz w:val="32"/>
          <w:szCs w:val="32"/>
          <w14:textFill>
            <w14:solidFill>
              <w14:schemeClr w14:val="tx1"/>
            </w14:solidFill>
          </w14:textFill>
        </w:rPr>
        <w:t>，</w:t>
      </w:r>
      <w:r>
        <w:rPr>
          <w:rFonts w:ascii="Times New Roman" w:hAnsi="Times New Roman" w:eastAsia="仿宋"/>
          <w:color w:val="000000" w:themeColor="text1"/>
          <w:kern w:val="0"/>
          <w:sz w:val="32"/>
          <w:szCs w:val="32"/>
          <w14:textFill>
            <w14:solidFill>
              <w14:schemeClr w14:val="tx1"/>
            </w14:solidFill>
          </w14:textFill>
        </w:rPr>
        <w:t>深入贯彻落实习近平总书记视察广西</w:t>
      </w:r>
      <w:r>
        <w:rPr>
          <w:rFonts w:hint="eastAsia" w:ascii="Times New Roman" w:hAnsi="Times New Roman" w:eastAsia="仿宋"/>
          <w:color w:val="000000" w:themeColor="text1"/>
          <w:kern w:val="0"/>
          <w:sz w:val="32"/>
          <w:szCs w:val="32"/>
          <w14:textFill>
            <w14:solidFill>
              <w14:schemeClr w14:val="tx1"/>
            </w14:solidFill>
          </w14:textFill>
        </w:rPr>
        <w:t>“</w:t>
      </w:r>
      <w:r>
        <w:rPr>
          <w:rFonts w:ascii="Times New Roman" w:hAnsi="Times New Roman" w:eastAsia="仿宋"/>
          <w:color w:val="000000" w:themeColor="text1"/>
          <w:kern w:val="0"/>
          <w:sz w:val="32"/>
          <w:szCs w:val="32"/>
          <w14:textFill>
            <w14:solidFill>
              <w14:schemeClr w14:val="tx1"/>
            </w14:solidFill>
          </w14:textFill>
        </w:rPr>
        <w:t>4.27</w:t>
      </w:r>
      <w:r>
        <w:rPr>
          <w:rFonts w:hint="eastAsia" w:ascii="Times New Roman" w:hAnsi="Times New Roman" w:eastAsia="仿宋"/>
          <w:color w:val="000000" w:themeColor="text1"/>
          <w:kern w:val="0"/>
          <w:sz w:val="32"/>
          <w:szCs w:val="32"/>
          <w14:textFill>
            <w14:solidFill>
              <w14:schemeClr w14:val="tx1"/>
            </w14:solidFill>
          </w14:textFill>
        </w:rPr>
        <w:t>”</w:t>
      </w:r>
      <w:r>
        <w:rPr>
          <w:rFonts w:ascii="Times New Roman" w:hAnsi="Times New Roman" w:eastAsia="仿宋"/>
          <w:color w:val="000000" w:themeColor="text1"/>
          <w:kern w:val="0"/>
          <w:sz w:val="32"/>
          <w:szCs w:val="32"/>
          <w14:textFill>
            <w14:solidFill>
              <w14:schemeClr w14:val="tx1"/>
            </w14:solidFill>
          </w14:textFill>
        </w:rPr>
        <w:t>重要讲话精神和对广西工作系列重要指示要求，</w:t>
      </w:r>
      <w:r>
        <w:rPr>
          <w:rFonts w:hint="eastAsia" w:ascii="Times New Roman" w:hAnsi="Times New Roman" w:eastAsia="仿宋"/>
          <w:color w:val="000000" w:themeColor="text1"/>
          <w:kern w:val="0"/>
          <w:sz w:val="32"/>
          <w:szCs w:val="32"/>
          <w14:textFill>
            <w14:solidFill>
              <w14:schemeClr w14:val="tx1"/>
            </w14:solidFill>
          </w14:textFill>
        </w:rPr>
        <w:t>统筹推进“五位一体”总体布局、协调推进“四个全面”战略布局，完整、准确、全面贯彻新发展理念，紧紧围绕凝心聚力建设新时代中国特色社会主义壮美广西“1+1+4+3+N”目标任务体系，</w:t>
      </w:r>
      <w:r>
        <w:rPr>
          <w:rFonts w:hint="eastAsia" w:ascii="Times New Roman" w:hAnsi="Times New Roman" w:eastAsia="仿宋"/>
          <w:color w:val="FF0000"/>
          <w:kern w:val="0"/>
          <w:sz w:val="32"/>
          <w:szCs w:val="32"/>
        </w:rPr>
        <w:t>全面实施“建大港、壮产业、造滨城、美乡村”四轮驱动战略，</w:t>
      </w:r>
      <w:r>
        <w:rPr>
          <w:rFonts w:ascii="Times New Roman" w:hAnsi="Times New Roman" w:eastAsia="仿宋"/>
          <w:color w:val="000000" w:themeColor="text1"/>
          <w:kern w:val="0"/>
          <w:sz w:val="32"/>
          <w:szCs w:val="32"/>
          <w14:textFill>
            <w14:solidFill>
              <w14:schemeClr w14:val="tx1"/>
            </w14:solidFill>
          </w14:textFill>
        </w:rPr>
        <w:t>牢牢把握新发展阶段、新发展理念和新发展格局的内在要求，以推动高质量发展为主题，以深化供给侧结构性改革为主线，以绿色发展为根本，以创新发展为动力，着力推动产业</w:t>
      </w:r>
      <w:r>
        <w:rPr>
          <w:rFonts w:hint="eastAsia" w:ascii="Times New Roman" w:hAnsi="Times New Roman" w:eastAsia="仿宋"/>
          <w:color w:val="000000" w:themeColor="text1"/>
          <w:kern w:val="0"/>
          <w:sz w:val="32"/>
          <w:szCs w:val="32"/>
          <w14:textFill>
            <w14:solidFill>
              <w14:schemeClr w14:val="tx1"/>
            </w14:solidFill>
          </w14:textFill>
        </w:rPr>
        <w:t>低碳</w:t>
      </w:r>
      <w:r>
        <w:rPr>
          <w:rFonts w:ascii="Times New Roman" w:hAnsi="Times New Roman" w:eastAsia="仿宋"/>
          <w:color w:val="000000" w:themeColor="text1"/>
          <w:kern w:val="0"/>
          <w:sz w:val="32"/>
          <w:szCs w:val="32"/>
          <w14:textFill>
            <w14:solidFill>
              <w14:schemeClr w14:val="tx1"/>
            </w14:solidFill>
          </w14:textFill>
        </w:rPr>
        <w:t>转型升级，加快延伸产业链，推动钦州市散装水泥、预拌混凝土、预拌砂浆及水泥制品产业</w:t>
      </w:r>
      <w:r>
        <w:rPr>
          <w:rFonts w:hint="eastAsia" w:ascii="Times New Roman" w:hAnsi="Times New Roman" w:eastAsia="仿宋"/>
          <w:color w:val="000000" w:themeColor="text1"/>
          <w:kern w:val="0"/>
          <w:sz w:val="32"/>
          <w:szCs w:val="32"/>
          <w14:textFill>
            <w14:solidFill>
              <w14:schemeClr w14:val="tx1"/>
            </w14:solidFill>
          </w14:textFill>
        </w:rPr>
        <w:t>绿色化、低碳化、规模化、智能化发展</w:t>
      </w:r>
      <w:r>
        <w:rPr>
          <w:rFonts w:ascii="Times New Roman" w:hAnsi="Times New Roman" w:eastAsia="仿宋"/>
          <w:color w:val="000000" w:themeColor="text1"/>
          <w:kern w:val="0"/>
          <w:sz w:val="32"/>
          <w:szCs w:val="32"/>
          <w14:textFill>
            <w14:solidFill>
              <w14:schemeClr w14:val="tx1"/>
            </w14:solidFill>
          </w14:textFill>
        </w:rPr>
        <w:t>，全面满足建设发展需要，为全市</w:t>
      </w:r>
      <w:r>
        <w:rPr>
          <w:rFonts w:hint="eastAsia" w:ascii="Times New Roman" w:hAnsi="Times New Roman" w:eastAsia="仿宋"/>
          <w:color w:val="000000" w:themeColor="text1"/>
          <w:kern w:val="0"/>
          <w:sz w:val="32"/>
          <w:szCs w:val="32"/>
          <w14:textFill>
            <w14:solidFill>
              <w14:schemeClr w14:val="tx1"/>
            </w14:solidFill>
          </w14:textFill>
        </w:rPr>
        <w:t>“</w:t>
      </w:r>
      <w:r>
        <w:rPr>
          <w:rFonts w:ascii="Times New Roman" w:hAnsi="Times New Roman" w:eastAsia="仿宋"/>
          <w:color w:val="000000" w:themeColor="text1"/>
          <w:kern w:val="0"/>
          <w:sz w:val="32"/>
          <w:szCs w:val="32"/>
          <w14:textFill>
            <w14:solidFill>
              <w14:schemeClr w14:val="tx1"/>
            </w14:solidFill>
          </w14:textFill>
        </w:rPr>
        <w:t>十四五</w:t>
      </w:r>
      <w:r>
        <w:rPr>
          <w:rFonts w:hint="eastAsia" w:ascii="Times New Roman" w:hAnsi="Times New Roman" w:eastAsia="仿宋"/>
          <w:color w:val="000000" w:themeColor="text1"/>
          <w:kern w:val="0"/>
          <w:sz w:val="32"/>
          <w:szCs w:val="32"/>
          <w14:textFill>
            <w14:solidFill>
              <w14:schemeClr w14:val="tx1"/>
            </w14:solidFill>
          </w14:textFill>
        </w:rPr>
        <w:t>”</w:t>
      </w:r>
      <w:r>
        <w:rPr>
          <w:rFonts w:ascii="Times New Roman" w:hAnsi="Times New Roman" w:eastAsia="仿宋"/>
          <w:color w:val="000000" w:themeColor="text1"/>
          <w:kern w:val="0"/>
          <w:sz w:val="32"/>
          <w:szCs w:val="32"/>
          <w14:textFill>
            <w14:solidFill>
              <w14:schemeClr w14:val="tx1"/>
            </w14:solidFill>
          </w14:textFill>
        </w:rPr>
        <w:t>时期实现</w:t>
      </w:r>
      <w:r>
        <w:rPr>
          <w:rFonts w:hint="eastAsia" w:ascii="Times New Roman" w:hAnsi="Times New Roman" w:eastAsia="仿宋"/>
          <w:color w:val="000000" w:themeColor="text1"/>
          <w:kern w:val="0"/>
          <w:sz w:val="32"/>
          <w:szCs w:val="32"/>
          <w14:textFill>
            <w14:solidFill>
              <w14:schemeClr w14:val="tx1"/>
            </w14:solidFill>
          </w14:textFill>
        </w:rPr>
        <w:t>“</w:t>
      </w:r>
      <w:r>
        <w:rPr>
          <w:rFonts w:ascii="Times New Roman" w:hAnsi="Times New Roman" w:eastAsia="仿宋"/>
          <w:color w:val="000000" w:themeColor="text1"/>
          <w:kern w:val="0"/>
          <w:sz w:val="32"/>
          <w:szCs w:val="32"/>
          <w14:textFill>
            <w14:solidFill>
              <w14:schemeClr w14:val="tx1"/>
            </w14:solidFill>
          </w14:textFill>
        </w:rPr>
        <w:t>成为广西工业强市，高水平开放高质量发展走在全区前列</w:t>
      </w:r>
      <w:r>
        <w:rPr>
          <w:rFonts w:hint="eastAsia" w:ascii="Times New Roman" w:hAnsi="Times New Roman" w:eastAsia="仿宋"/>
          <w:color w:val="000000" w:themeColor="text1"/>
          <w:kern w:val="0"/>
          <w:sz w:val="32"/>
          <w:szCs w:val="32"/>
          <w14:textFill>
            <w14:solidFill>
              <w14:schemeClr w14:val="tx1"/>
            </w14:solidFill>
          </w14:textFill>
        </w:rPr>
        <w:t>”</w:t>
      </w:r>
      <w:r>
        <w:rPr>
          <w:rFonts w:ascii="Times New Roman" w:hAnsi="Times New Roman" w:eastAsia="仿宋"/>
          <w:color w:val="000000" w:themeColor="text1"/>
          <w:kern w:val="0"/>
          <w:sz w:val="32"/>
          <w:szCs w:val="32"/>
          <w14:textFill>
            <w14:solidFill>
              <w14:schemeClr w14:val="tx1"/>
            </w14:solidFill>
          </w14:textFill>
        </w:rPr>
        <w:t>目标作出应有贡献。</w:t>
      </w:r>
      <w:bookmarkStart w:id="72" w:name="_Toc14828"/>
      <w:bookmarkStart w:id="73" w:name="_Toc15220"/>
      <w:bookmarkStart w:id="74" w:name="_Toc25445"/>
      <w:bookmarkStart w:id="75" w:name="_Toc20472"/>
      <w:bookmarkStart w:id="76" w:name="_Toc29277"/>
      <w:bookmarkStart w:id="77" w:name="_Toc3669"/>
      <w:bookmarkStart w:id="78" w:name="_Toc4484"/>
      <w:bookmarkStart w:id="79" w:name="_Toc13571"/>
      <w:bookmarkStart w:id="80" w:name="_Toc10050"/>
      <w:bookmarkStart w:id="81" w:name="_Toc89203779"/>
      <w:bookmarkStart w:id="82" w:name="_Toc24998"/>
    </w:p>
    <w:p>
      <w:pPr>
        <w:keepNext/>
        <w:keepLines/>
        <w:adjustRightInd w:val="0"/>
        <w:snapToGrid w:val="0"/>
        <w:spacing w:line="360" w:lineRule="auto"/>
        <w:ind w:firstLine="640" w:firstLineChars="200"/>
        <w:outlineLvl w:val="1"/>
        <w:rPr>
          <w:rFonts w:ascii="Times New Roman" w:hAnsi="Times New Roman" w:eastAsia="黑体"/>
          <w:bCs/>
          <w:color w:val="000000" w:themeColor="text1"/>
          <w:sz w:val="32"/>
          <w:szCs w:val="26"/>
          <w14:textFill>
            <w14:solidFill>
              <w14:schemeClr w14:val="tx1"/>
            </w14:solidFill>
          </w14:textFill>
        </w:rPr>
      </w:pPr>
      <w:bookmarkStart w:id="83" w:name="_Toc20358"/>
      <w:bookmarkStart w:id="84" w:name="_Toc31516"/>
      <w:bookmarkStart w:id="85" w:name="_Toc24390"/>
      <w:r>
        <w:rPr>
          <w:rFonts w:ascii="Times New Roman" w:hAnsi="Times New Roman" w:eastAsia="黑体"/>
          <w:bCs/>
          <w:color w:val="000000" w:themeColor="text1"/>
          <w:sz w:val="32"/>
          <w:szCs w:val="26"/>
          <w14:textFill>
            <w14:solidFill>
              <w14:schemeClr w14:val="tx1"/>
            </w14:solidFill>
          </w14:textFill>
        </w:rPr>
        <w:t>二、基本原则</w:t>
      </w:r>
      <w:bookmarkEnd w:id="72"/>
      <w:bookmarkEnd w:id="73"/>
      <w:bookmarkEnd w:id="74"/>
      <w:bookmarkEnd w:id="75"/>
      <w:bookmarkEnd w:id="76"/>
      <w:bookmarkEnd w:id="77"/>
      <w:bookmarkEnd w:id="78"/>
      <w:bookmarkEnd w:id="79"/>
      <w:bookmarkEnd w:id="80"/>
      <w:bookmarkEnd w:id="81"/>
      <w:bookmarkEnd w:id="82"/>
      <w:bookmarkEnd w:id="83"/>
      <w:bookmarkEnd w:id="84"/>
      <w:bookmarkEnd w:id="85"/>
    </w:p>
    <w:p>
      <w:pPr>
        <w:adjustRightInd w:val="0"/>
        <w:snapToGrid w:val="0"/>
        <w:spacing w:line="360" w:lineRule="auto"/>
        <w:ind w:firstLine="643" w:firstLineChars="200"/>
        <w:outlineLvl w:val="2"/>
        <w:rPr>
          <w:rFonts w:ascii="Times New Roman" w:hAnsi="Times New Roman" w:eastAsia="楷体"/>
          <w:b/>
          <w:color w:val="000000" w:themeColor="text1"/>
          <w:sz w:val="32"/>
          <w:szCs w:val="27"/>
          <w14:textFill>
            <w14:solidFill>
              <w14:schemeClr w14:val="tx1"/>
            </w14:solidFill>
          </w14:textFill>
        </w:rPr>
      </w:pPr>
      <w:bookmarkStart w:id="86" w:name="_Toc29426"/>
      <w:bookmarkStart w:id="87" w:name="_Toc89203780"/>
      <w:r>
        <w:rPr>
          <w:rFonts w:ascii="Times New Roman" w:hAnsi="Times New Roman" w:eastAsia="楷体"/>
          <w:b/>
          <w:color w:val="000000" w:themeColor="text1"/>
          <w:sz w:val="32"/>
          <w:szCs w:val="27"/>
          <w14:textFill>
            <w14:solidFill>
              <w14:schemeClr w14:val="tx1"/>
            </w14:solidFill>
          </w14:textFill>
        </w:rPr>
        <w:t>（一）坚持市场主导，政府引导</w:t>
      </w:r>
      <w:bookmarkEnd w:id="86"/>
      <w:bookmarkEnd w:id="87"/>
    </w:p>
    <w:p>
      <w:pPr>
        <w:adjustRightInd w:val="0"/>
        <w:snapToGrid w:val="0"/>
        <w:spacing w:line="360" w:lineRule="auto"/>
        <w:ind w:firstLine="640" w:firstLineChars="200"/>
        <w:rPr>
          <w:rFonts w:ascii="Times New Roman" w:hAnsi="Times New Roman" w:eastAsia="仿宋"/>
          <w:color w:val="000000" w:themeColor="text1"/>
          <w:kern w:val="0"/>
          <w:sz w:val="32"/>
          <w:szCs w:val="32"/>
          <w14:textFill>
            <w14:solidFill>
              <w14:schemeClr w14:val="tx1"/>
            </w14:solidFill>
          </w14:textFill>
        </w:rPr>
      </w:pPr>
      <w:r>
        <w:rPr>
          <w:rFonts w:ascii="Times New Roman" w:hAnsi="Times New Roman" w:eastAsia="仿宋"/>
          <w:color w:val="000000" w:themeColor="text1"/>
          <w:kern w:val="0"/>
          <w:sz w:val="32"/>
          <w:szCs w:val="32"/>
          <w14:textFill>
            <w14:solidFill>
              <w14:schemeClr w14:val="tx1"/>
            </w14:solidFill>
          </w14:textFill>
        </w:rPr>
        <w:t>结合地域发展特征与重点，合理规划产业发展，促进产业协调发展，发挥资源与区位优势，积极对接融入大湾区；重视职能部门间的统筹协调，完善产业发展政策，创新工作机制，分类别、分阶段推进政策落实，充分发挥协同管理效能，强化政府服务职能，依法开展行业监管。</w:t>
      </w:r>
      <w:bookmarkStart w:id="88" w:name="_Toc89203781"/>
      <w:bookmarkStart w:id="89" w:name="_Toc17282"/>
    </w:p>
    <w:bookmarkEnd w:id="88"/>
    <w:bookmarkEnd w:id="89"/>
    <w:p>
      <w:pPr>
        <w:adjustRightInd w:val="0"/>
        <w:snapToGrid w:val="0"/>
        <w:spacing w:line="360" w:lineRule="auto"/>
        <w:ind w:firstLine="643" w:firstLineChars="200"/>
        <w:outlineLvl w:val="2"/>
        <w:rPr>
          <w:rFonts w:ascii="Times New Roman" w:hAnsi="Times New Roman" w:eastAsia="楷体"/>
          <w:b/>
          <w:color w:val="000000" w:themeColor="text1"/>
          <w:sz w:val="32"/>
          <w:szCs w:val="27"/>
          <w14:textFill>
            <w14:solidFill>
              <w14:schemeClr w14:val="tx1"/>
            </w14:solidFill>
          </w14:textFill>
        </w:rPr>
      </w:pPr>
      <w:bookmarkStart w:id="90" w:name="_Toc89203782"/>
      <w:bookmarkStart w:id="91" w:name="_Toc25675"/>
      <w:r>
        <w:rPr>
          <w:rFonts w:ascii="Times New Roman" w:hAnsi="Times New Roman" w:eastAsia="楷体"/>
          <w:b/>
          <w:color w:val="000000" w:themeColor="text1"/>
          <w:sz w:val="32"/>
          <w:szCs w:val="27"/>
          <w14:textFill>
            <w14:solidFill>
              <w14:schemeClr w14:val="tx1"/>
            </w14:solidFill>
          </w14:textFill>
        </w:rPr>
        <w:t>（二）坚持绿色发展，创新发展</w:t>
      </w:r>
    </w:p>
    <w:p>
      <w:pPr>
        <w:adjustRightInd w:val="0"/>
        <w:snapToGrid w:val="0"/>
        <w:spacing w:line="360" w:lineRule="auto"/>
        <w:ind w:firstLine="640" w:firstLineChars="200"/>
        <w:rPr>
          <w:rFonts w:ascii="Times New Roman" w:hAnsi="Times New Roman" w:eastAsia="仿宋_GB2312"/>
          <w:color w:val="000000" w:themeColor="text1"/>
          <w:kern w:val="0"/>
          <w:sz w:val="32"/>
          <w:szCs w:val="32"/>
          <w14:textFill>
            <w14:solidFill>
              <w14:schemeClr w14:val="tx1"/>
            </w14:solidFill>
          </w14:textFill>
        </w:rPr>
      </w:pPr>
      <w:r>
        <w:rPr>
          <w:rFonts w:ascii="Times New Roman" w:hAnsi="Times New Roman" w:eastAsia="仿宋"/>
          <w:color w:val="000000" w:themeColor="text1"/>
          <w:kern w:val="0"/>
          <w:sz w:val="32"/>
          <w:szCs w:val="32"/>
          <w14:textFill>
            <w14:solidFill>
              <w14:schemeClr w14:val="tx1"/>
            </w14:solidFill>
          </w14:textFill>
        </w:rPr>
        <w:t>充分发挥市场机制作用，淘汰落后产能，推进清洁生产，发展循环经济，提高固体废弃物综合利用率，促进节能减排；加强技术创新和管理创新，鼓励发展新技术新产品，推进两化融合、智能制造，实现绿色发展、创新发展。</w:t>
      </w:r>
    </w:p>
    <w:p>
      <w:pPr>
        <w:adjustRightInd w:val="0"/>
        <w:snapToGrid w:val="0"/>
        <w:spacing w:line="360" w:lineRule="auto"/>
        <w:ind w:firstLine="643" w:firstLineChars="200"/>
        <w:outlineLvl w:val="2"/>
        <w:rPr>
          <w:rFonts w:ascii="Times New Roman" w:hAnsi="Times New Roman" w:eastAsia="楷体"/>
          <w:b/>
          <w:color w:val="000000" w:themeColor="text1"/>
          <w:sz w:val="32"/>
          <w:szCs w:val="27"/>
          <w14:textFill>
            <w14:solidFill>
              <w14:schemeClr w14:val="tx1"/>
            </w14:solidFill>
          </w14:textFill>
        </w:rPr>
      </w:pPr>
      <w:r>
        <w:rPr>
          <w:rFonts w:ascii="Times New Roman" w:hAnsi="Times New Roman" w:eastAsia="楷体"/>
          <w:b/>
          <w:color w:val="000000" w:themeColor="text1"/>
          <w:sz w:val="32"/>
          <w:szCs w:val="27"/>
          <w14:textFill>
            <w14:solidFill>
              <w14:schemeClr w14:val="tx1"/>
            </w14:solidFill>
          </w14:textFill>
        </w:rPr>
        <w:t>（三）坚持结构优化，转型升级</w:t>
      </w:r>
      <w:bookmarkEnd w:id="90"/>
      <w:bookmarkEnd w:id="91"/>
    </w:p>
    <w:p>
      <w:pPr>
        <w:adjustRightInd w:val="0"/>
        <w:snapToGrid w:val="0"/>
        <w:spacing w:line="360" w:lineRule="auto"/>
        <w:ind w:firstLine="640" w:firstLineChars="200"/>
        <w:rPr>
          <w:rFonts w:ascii="Times New Roman" w:hAnsi="Times New Roman" w:eastAsia="仿宋"/>
          <w:color w:val="000000" w:themeColor="text1"/>
          <w:kern w:val="0"/>
          <w:sz w:val="32"/>
          <w:szCs w:val="32"/>
          <w14:textFill>
            <w14:solidFill>
              <w14:schemeClr w14:val="tx1"/>
            </w14:solidFill>
          </w14:textFill>
        </w:rPr>
      </w:pPr>
      <w:r>
        <w:rPr>
          <w:rFonts w:ascii="Times New Roman" w:hAnsi="Times New Roman" w:eastAsia="仿宋"/>
          <w:color w:val="000000" w:themeColor="text1"/>
          <w:kern w:val="0"/>
          <w:sz w:val="32"/>
          <w:szCs w:val="32"/>
          <w14:textFill>
            <w14:solidFill>
              <w14:schemeClr w14:val="tx1"/>
            </w14:solidFill>
          </w14:textFill>
        </w:rPr>
        <w:t>改造提升传统产业，延伸产业链条，不断优化供给结构，加快发展新兴产业和新产品，有效提升产业竞争力，加快形成散装水泥、预拌混凝土、预拌砂浆及水泥制品协调发展的新格局。</w:t>
      </w:r>
    </w:p>
    <w:p>
      <w:pPr>
        <w:adjustRightInd w:val="0"/>
        <w:snapToGrid w:val="0"/>
        <w:spacing w:line="360" w:lineRule="auto"/>
        <w:ind w:firstLine="643" w:firstLineChars="200"/>
        <w:outlineLvl w:val="2"/>
        <w:rPr>
          <w:rFonts w:ascii="Times New Roman" w:hAnsi="Times New Roman" w:eastAsia="楷体"/>
          <w:b/>
          <w:color w:val="000000" w:themeColor="text1"/>
          <w:sz w:val="32"/>
          <w:szCs w:val="27"/>
          <w14:textFill>
            <w14:solidFill>
              <w14:schemeClr w14:val="tx1"/>
            </w14:solidFill>
          </w14:textFill>
        </w:rPr>
      </w:pPr>
      <w:bookmarkStart w:id="92" w:name="_Toc24949"/>
      <w:bookmarkStart w:id="93" w:name="_Toc89203783"/>
      <w:r>
        <w:rPr>
          <w:rFonts w:ascii="Times New Roman" w:hAnsi="Times New Roman" w:eastAsia="楷体"/>
          <w:b/>
          <w:color w:val="000000" w:themeColor="text1"/>
          <w:sz w:val="32"/>
          <w:szCs w:val="27"/>
          <w14:textFill>
            <w14:solidFill>
              <w14:schemeClr w14:val="tx1"/>
            </w14:solidFill>
          </w14:textFill>
        </w:rPr>
        <w:t>（四）坚持质量第一，安全生产</w:t>
      </w:r>
      <w:bookmarkEnd w:id="92"/>
      <w:bookmarkEnd w:id="93"/>
    </w:p>
    <w:p>
      <w:pPr>
        <w:adjustRightInd w:val="0"/>
        <w:snapToGrid w:val="0"/>
        <w:spacing w:line="360" w:lineRule="auto"/>
        <w:ind w:firstLine="640" w:firstLineChars="200"/>
        <w:rPr>
          <w:rFonts w:ascii="Times New Roman" w:hAnsi="Times New Roman" w:eastAsia="仿宋"/>
          <w:color w:val="000000" w:themeColor="text1"/>
          <w:kern w:val="0"/>
          <w:sz w:val="32"/>
          <w:szCs w:val="32"/>
          <w14:textFill>
            <w14:solidFill>
              <w14:schemeClr w14:val="tx1"/>
            </w14:solidFill>
          </w14:textFill>
        </w:rPr>
      </w:pPr>
      <w:r>
        <w:rPr>
          <w:rFonts w:ascii="Times New Roman" w:hAnsi="Times New Roman" w:eastAsia="仿宋"/>
          <w:color w:val="000000" w:themeColor="text1"/>
          <w:kern w:val="0"/>
          <w:sz w:val="32"/>
          <w:szCs w:val="32"/>
          <w14:textFill>
            <w14:solidFill>
              <w14:schemeClr w14:val="tx1"/>
            </w14:solidFill>
          </w14:textFill>
        </w:rPr>
        <w:t>严格按照国家、行业及地方相关标准规范监督行业生产、销售行为，加大对违法行为的查处、处罚力度；进一步强化对预拌混凝土、预拌砂浆行业的安全生产和产品质量监管，不断提升行业安全生产和产品质量水平。</w:t>
      </w:r>
    </w:p>
    <w:p>
      <w:pPr>
        <w:keepNext/>
        <w:keepLines/>
        <w:adjustRightInd w:val="0"/>
        <w:snapToGrid w:val="0"/>
        <w:spacing w:line="360" w:lineRule="auto"/>
        <w:ind w:firstLine="640" w:firstLineChars="200"/>
        <w:outlineLvl w:val="1"/>
        <w:rPr>
          <w:rFonts w:ascii="Times New Roman" w:hAnsi="Times New Roman" w:eastAsia="黑体"/>
          <w:bCs/>
          <w:color w:val="000000" w:themeColor="text1"/>
          <w:sz w:val="32"/>
          <w:szCs w:val="26"/>
          <w14:textFill>
            <w14:solidFill>
              <w14:schemeClr w14:val="tx1"/>
            </w14:solidFill>
          </w14:textFill>
        </w:rPr>
      </w:pPr>
      <w:bookmarkStart w:id="94" w:name="_Toc18073"/>
      <w:bookmarkStart w:id="95" w:name="_Toc75"/>
      <w:bookmarkStart w:id="96" w:name="_Toc10015"/>
      <w:bookmarkStart w:id="97" w:name="_Toc3692"/>
      <w:bookmarkStart w:id="98" w:name="_Toc24953"/>
      <w:bookmarkStart w:id="99" w:name="_Toc19887"/>
      <w:bookmarkStart w:id="100" w:name="_Toc10228"/>
      <w:bookmarkStart w:id="101" w:name="_Toc89203784"/>
      <w:bookmarkStart w:id="102" w:name="_Toc28657"/>
      <w:bookmarkStart w:id="103" w:name="_Toc22501"/>
      <w:bookmarkStart w:id="104" w:name="_Toc9251"/>
      <w:bookmarkStart w:id="105" w:name="_Toc24489"/>
      <w:bookmarkStart w:id="106" w:name="_Toc4508"/>
      <w:bookmarkStart w:id="107" w:name="_Toc30822"/>
      <w:bookmarkStart w:id="108" w:name="_Toc28435"/>
      <w:bookmarkStart w:id="109" w:name="_Toc21708"/>
      <w:r>
        <w:rPr>
          <w:rFonts w:ascii="Times New Roman" w:hAnsi="Times New Roman" w:eastAsia="黑体"/>
          <w:bCs/>
          <w:color w:val="000000" w:themeColor="text1"/>
          <w:sz w:val="32"/>
          <w:szCs w:val="26"/>
          <w14:textFill>
            <w14:solidFill>
              <w14:schemeClr w14:val="tx1"/>
            </w14:solidFill>
          </w14:textFill>
        </w:rPr>
        <w:t>三、发展目标</w:t>
      </w:r>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p>
    <w:p>
      <w:pPr>
        <w:adjustRightInd w:val="0"/>
        <w:snapToGrid w:val="0"/>
        <w:spacing w:line="360" w:lineRule="auto"/>
        <w:ind w:firstLine="643" w:firstLineChars="200"/>
        <w:outlineLvl w:val="2"/>
        <w:rPr>
          <w:rFonts w:ascii="Times New Roman" w:hAnsi="Times New Roman" w:eastAsia="楷体"/>
          <w:b/>
          <w:color w:val="000000" w:themeColor="text1"/>
          <w:sz w:val="32"/>
          <w:szCs w:val="27"/>
          <w14:textFill>
            <w14:solidFill>
              <w14:schemeClr w14:val="tx1"/>
            </w14:solidFill>
          </w14:textFill>
        </w:rPr>
      </w:pPr>
      <w:bookmarkStart w:id="110" w:name="_Toc20410"/>
      <w:bookmarkStart w:id="111" w:name="_Toc89203785"/>
      <w:r>
        <w:rPr>
          <w:rFonts w:ascii="Times New Roman" w:hAnsi="Times New Roman" w:eastAsia="楷体"/>
          <w:b/>
          <w:color w:val="000000" w:themeColor="text1"/>
          <w:sz w:val="32"/>
          <w:szCs w:val="27"/>
          <w14:textFill>
            <w14:solidFill>
              <w14:schemeClr w14:val="tx1"/>
            </w14:solidFill>
          </w14:textFill>
        </w:rPr>
        <w:t>（一）规模目标</w:t>
      </w:r>
      <w:bookmarkEnd w:id="110"/>
      <w:bookmarkEnd w:id="111"/>
    </w:p>
    <w:p>
      <w:pPr>
        <w:adjustRightInd w:val="0"/>
        <w:snapToGrid w:val="0"/>
        <w:spacing w:line="360" w:lineRule="auto"/>
        <w:ind w:firstLine="643" w:firstLineChars="200"/>
        <w:rPr>
          <w:rFonts w:ascii="Times New Roman" w:hAnsi="Times New Roman" w:eastAsia="仿宋"/>
          <w:b/>
          <w:bCs/>
          <w:color w:val="000000" w:themeColor="text1"/>
          <w:kern w:val="0"/>
          <w:sz w:val="32"/>
          <w:szCs w:val="32"/>
          <w14:textFill>
            <w14:solidFill>
              <w14:schemeClr w14:val="tx1"/>
            </w14:solidFill>
          </w14:textFill>
        </w:rPr>
      </w:pPr>
      <w:r>
        <w:rPr>
          <w:rFonts w:ascii="Times New Roman" w:hAnsi="Times New Roman" w:eastAsia="仿宋"/>
          <w:b/>
          <w:bCs/>
          <w:color w:val="000000" w:themeColor="text1"/>
          <w:kern w:val="0"/>
          <w:sz w:val="32"/>
          <w:szCs w:val="32"/>
          <w14:textFill>
            <w14:solidFill>
              <w14:schemeClr w14:val="tx1"/>
            </w14:solidFill>
          </w14:textFill>
        </w:rPr>
        <w:t>1.散装水泥</w:t>
      </w:r>
    </w:p>
    <w:p>
      <w:pPr>
        <w:spacing w:line="360" w:lineRule="auto"/>
        <w:ind w:firstLine="640" w:firstLineChars="200"/>
        <w:rPr>
          <w:rFonts w:ascii="Times New Roman" w:hAnsi="Times New Roman" w:eastAsia="仿宋"/>
          <w:color w:val="000000" w:themeColor="text1"/>
          <w:kern w:val="0"/>
          <w:sz w:val="32"/>
          <w:szCs w:val="32"/>
          <w14:textFill>
            <w14:solidFill>
              <w14:schemeClr w14:val="tx1"/>
            </w14:solidFill>
          </w14:textFill>
        </w:rPr>
      </w:pPr>
      <w:r>
        <w:rPr>
          <w:rFonts w:ascii="Times New Roman" w:hAnsi="Times New Roman" w:eastAsia="仿宋"/>
          <w:color w:val="000000" w:themeColor="text1"/>
          <w:kern w:val="0"/>
          <w:sz w:val="32"/>
          <w:szCs w:val="32"/>
          <w14:textFill>
            <w14:solidFill>
              <w14:schemeClr w14:val="tx1"/>
            </w14:solidFill>
          </w14:textFill>
        </w:rPr>
        <w:t>到2025年，全市本地水泥散装率达到80%，农村散装水泥使用率达到60%以上</w:t>
      </w:r>
      <w:r>
        <w:rPr>
          <w:rFonts w:hint="eastAsia" w:ascii="Times New Roman" w:hAnsi="Times New Roman" w:eastAsia="仿宋"/>
          <w:color w:val="000000" w:themeColor="text1"/>
          <w:kern w:val="0"/>
          <w:sz w:val="32"/>
          <w:szCs w:val="32"/>
          <w14:textFill>
            <w14:solidFill>
              <w14:schemeClr w14:val="tx1"/>
            </w14:solidFill>
          </w14:textFill>
        </w:rPr>
        <w:t>。</w:t>
      </w:r>
    </w:p>
    <w:p>
      <w:pPr>
        <w:spacing w:line="360" w:lineRule="auto"/>
        <w:ind w:firstLine="480" w:firstLineChars="200"/>
        <w:rPr>
          <w:rFonts w:ascii="Times New Roman" w:hAnsi="Times New Roman" w:eastAsia="仿宋"/>
          <w:color w:val="000000" w:themeColor="text1"/>
          <w:sz w:val="32"/>
          <w:szCs w:val="32"/>
          <w14:textFill>
            <w14:solidFill>
              <w14:schemeClr w14:val="tx1"/>
            </w14:solidFill>
          </w14:textFill>
        </w:rPr>
      </w:pPr>
      <w:r>
        <w:rPr>
          <w:rFonts w:hint="eastAsia" w:ascii="Times New Roman" w:hAnsi="Times New Roman" w:eastAsia="仿宋"/>
          <w:color w:val="000000" w:themeColor="text1"/>
          <w:kern w:val="0"/>
          <w:sz w:val="24"/>
          <w:szCs w:val="24"/>
          <w14:textFill>
            <w14:solidFill>
              <w14:schemeClr w14:val="tx1"/>
            </w14:solidFill>
          </w14:textFill>
        </w:rPr>
        <w:t>（注：到2025年</w:t>
      </w:r>
      <w:r>
        <w:rPr>
          <w:rFonts w:ascii="Times New Roman" w:hAnsi="Times New Roman" w:eastAsia="仿宋"/>
          <w:color w:val="000000" w:themeColor="text1"/>
          <w:kern w:val="0"/>
          <w:sz w:val="24"/>
          <w:szCs w:val="24"/>
          <w14:textFill>
            <w14:solidFill>
              <w14:schemeClr w14:val="tx1"/>
            </w14:solidFill>
          </w14:textFill>
        </w:rPr>
        <w:t>水泥散装率</w:t>
      </w:r>
      <w:r>
        <w:rPr>
          <w:rFonts w:hint="eastAsia" w:ascii="Times New Roman" w:hAnsi="Times New Roman" w:eastAsia="仿宋"/>
          <w:color w:val="000000" w:themeColor="text1"/>
          <w:kern w:val="0"/>
          <w:sz w:val="24"/>
          <w:szCs w:val="24"/>
          <w14:textFill>
            <w14:solidFill>
              <w14:schemeClr w14:val="tx1"/>
            </w14:solidFill>
          </w14:textFill>
        </w:rPr>
        <w:t>目标达到80%情况下，预计可实现节约包装用纸约4.2万吨以上，减少粉尘排放8.3万吨以上，减少二氧化碳排放105万吨以上，减少二氧化硫0.6万吨以上）。</w:t>
      </w:r>
    </w:p>
    <w:p>
      <w:pPr>
        <w:adjustRightInd w:val="0"/>
        <w:snapToGrid w:val="0"/>
        <w:spacing w:line="360" w:lineRule="auto"/>
        <w:ind w:firstLine="643" w:firstLineChars="200"/>
        <w:rPr>
          <w:rFonts w:ascii="Times New Roman" w:hAnsi="Times New Roman" w:eastAsia="仿宋"/>
          <w:b/>
          <w:bCs/>
          <w:color w:val="000000" w:themeColor="text1"/>
          <w:kern w:val="0"/>
          <w:sz w:val="32"/>
          <w:szCs w:val="32"/>
          <w14:textFill>
            <w14:solidFill>
              <w14:schemeClr w14:val="tx1"/>
            </w14:solidFill>
          </w14:textFill>
        </w:rPr>
      </w:pPr>
      <w:r>
        <w:rPr>
          <w:rFonts w:ascii="Times New Roman" w:hAnsi="Times New Roman" w:eastAsia="仿宋"/>
          <w:b/>
          <w:bCs/>
          <w:color w:val="000000" w:themeColor="text1"/>
          <w:kern w:val="0"/>
          <w:sz w:val="32"/>
          <w:szCs w:val="32"/>
          <w14:textFill>
            <w14:solidFill>
              <w14:schemeClr w14:val="tx1"/>
            </w14:solidFill>
          </w14:textFill>
        </w:rPr>
        <w:t>2.预拌混凝土</w:t>
      </w:r>
    </w:p>
    <w:p>
      <w:pPr>
        <w:adjustRightInd w:val="0"/>
        <w:snapToGrid w:val="0"/>
        <w:spacing w:line="360" w:lineRule="auto"/>
        <w:ind w:firstLine="640" w:firstLineChars="200"/>
        <w:rPr>
          <w:rFonts w:ascii="Times New Roman" w:hAnsi="Times New Roman" w:eastAsia="仿宋"/>
          <w:color w:val="000000" w:themeColor="text1"/>
          <w:kern w:val="0"/>
          <w:sz w:val="32"/>
          <w:szCs w:val="32"/>
          <w14:textFill>
            <w14:solidFill>
              <w14:schemeClr w14:val="tx1"/>
            </w14:solidFill>
          </w14:textFill>
        </w:rPr>
      </w:pPr>
      <w:r>
        <w:rPr>
          <w:rFonts w:ascii="Times New Roman" w:hAnsi="Times New Roman" w:eastAsia="仿宋"/>
          <w:color w:val="000000" w:themeColor="text1"/>
          <w:kern w:val="0"/>
          <w:sz w:val="32"/>
          <w:szCs w:val="32"/>
          <w14:textFill>
            <w14:solidFill>
              <w14:schemeClr w14:val="tx1"/>
            </w14:solidFill>
          </w14:textFill>
        </w:rPr>
        <w:t>到2025年，</w:t>
      </w:r>
      <w:r>
        <w:rPr>
          <w:rFonts w:hint="eastAsia" w:ascii="Times New Roman" w:hAnsi="Times New Roman" w:eastAsia="仿宋"/>
          <w:color w:val="000000" w:themeColor="text1"/>
          <w:kern w:val="0"/>
          <w:sz w:val="32"/>
          <w:szCs w:val="32"/>
          <w14:textFill>
            <w14:solidFill>
              <w14:schemeClr w14:val="tx1"/>
            </w14:solidFill>
          </w14:textFill>
        </w:rPr>
        <w:t>预拌混凝土行业发展规模和水平不断提高，</w:t>
      </w:r>
      <w:r>
        <w:rPr>
          <w:rFonts w:ascii="Times New Roman" w:hAnsi="Times New Roman" w:eastAsia="仿宋"/>
          <w:color w:val="000000" w:themeColor="text1"/>
          <w:kern w:val="0"/>
          <w:sz w:val="32"/>
          <w:szCs w:val="32"/>
          <w14:textFill>
            <w14:solidFill>
              <w14:schemeClr w14:val="tx1"/>
            </w14:solidFill>
          </w14:textFill>
        </w:rPr>
        <w:t>实现全市（城市区域）预拌混凝土平均产能利用率不低于</w:t>
      </w:r>
      <w:r>
        <w:rPr>
          <w:rFonts w:hint="eastAsia" w:ascii="Times New Roman" w:hAnsi="Times New Roman" w:eastAsia="仿宋"/>
          <w:color w:val="000000" w:themeColor="text1"/>
          <w:kern w:val="0"/>
          <w:sz w:val="32"/>
          <w:szCs w:val="32"/>
          <w14:textFill>
            <w14:solidFill>
              <w14:schemeClr w14:val="tx1"/>
            </w14:solidFill>
          </w14:textFill>
        </w:rPr>
        <w:t>35</w:t>
      </w:r>
      <w:r>
        <w:rPr>
          <w:rFonts w:ascii="Times New Roman" w:hAnsi="Times New Roman" w:eastAsia="仿宋"/>
          <w:color w:val="000000" w:themeColor="text1"/>
          <w:kern w:val="0"/>
          <w:sz w:val="32"/>
          <w:szCs w:val="32"/>
          <w14:textFill>
            <w14:solidFill>
              <w14:schemeClr w14:val="tx1"/>
            </w14:solidFill>
          </w14:textFill>
        </w:rPr>
        <w:t>%，乡镇农村预拌混凝土使用率达到50%以上</w:t>
      </w:r>
      <w:r>
        <w:rPr>
          <w:rFonts w:hint="eastAsia" w:ascii="Times New Roman" w:hAnsi="Times New Roman" w:eastAsia="仿宋"/>
          <w:color w:val="000000" w:themeColor="text1"/>
          <w:kern w:val="0"/>
          <w:sz w:val="32"/>
          <w:szCs w:val="32"/>
          <w14:textFill>
            <w14:solidFill>
              <w14:schemeClr w14:val="tx1"/>
            </w14:solidFill>
          </w14:textFill>
        </w:rPr>
        <w:t>。</w:t>
      </w:r>
    </w:p>
    <w:p>
      <w:pPr>
        <w:adjustRightInd w:val="0"/>
        <w:snapToGrid w:val="0"/>
        <w:spacing w:line="360" w:lineRule="auto"/>
        <w:ind w:firstLine="480" w:firstLineChars="200"/>
        <w:rPr>
          <w:rFonts w:ascii="Times New Roman" w:hAnsi="Times New Roman" w:eastAsia="仿宋"/>
          <w:color w:val="000000" w:themeColor="text1"/>
          <w:kern w:val="0"/>
          <w:sz w:val="32"/>
          <w:szCs w:val="32"/>
          <w14:textFill>
            <w14:solidFill>
              <w14:schemeClr w14:val="tx1"/>
            </w14:solidFill>
          </w14:textFill>
        </w:rPr>
      </w:pPr>
      <w:r>
        <w:rPr>
          <w:rFonts w:hint="eastAsia" w:ascii="Times New Roman" w:hAnsi="Times New Roman" w:eastAsia="仿宋"/>
          <w:color w:val="000000" w:themeColor="text1"/>
          <w:kern w:val="0"/>
          <w:sz w:val="24"/>
          <w:szCs w:val="24"/>
          <w14:textFill>
            <w14:solidFill>
              <w14:schemeClr w14:val="tx1"/>
            </w14:solidFill>
          </w14:textFill>
        </w:rPr>
        <w:t>（注：到2025年产能利用率目标完成情况下，预计可实现产值42亿元以上，其中平陆运河建设工程用需求带动实现预拌混凝土产值6亿以上）。</w:t>
      </w:r>
    </w:p>
    <w:p>
      <w:pPr>
        <w:adjustRightInd w:val="0"/>
        <w:snapToGrid w:val="0"/>
        <w:spacing w:line="360" w:lineRule="auto"/>
        <w:ind w:firstLine="643" w:firstLineChars="200"/>
        <w:rPr>
          <w:rFonts w:ascii="Times New Roman" w:hAnsi="Times New Roman" w:eastAsia="仿宋"/>
          <w:b/>
          <w:bCs/>
          <w:color w:val="000000" w:themeColor="text1"/>
          <w:kern w:val="0"/>
          <w:sz w:val="32"/>
          <w:szCs w:val="32"/>
          <w14:textFill>
            <w14:solidFill>
              <w14:schemeClr w14:val="tx1"/>
            </w14:solidFill>
          </w14:textFill>
        </w:rPr>
      </w:pPr>
      <w:r>
        <w:rPr>
          <w:rFonts w:ascii="Times New Roman" w:hAnsi="Times New Roman" w:eastAsia="仿宋"/>
          <w:b/>
          <w:bCs/>
          <w:color w:val="000000" w:themeColor="text1"/>
          <w:kern w:val="0"/>
          <w:sz w:val="32"/>
          <w:szCs w:val="32"/>
          <w14:textFill>
            <w14:solidFill>
              <w14:schemeClr w14:val="tx1"/>
            </w14:solidFill>
          </w14:textFill>
        </w:rPr>
        <w:t>3.预拌砂浆</w:t>
      </w:r>
    </w:p>
    <w:p>
      <w:pPr>
        <w:adjustRightInd w:val="0"/>
        <w:snapToGrid w:val="0"/>
        <w:spacing w:line="360" w:lineRule="auto"/>
        <w:ind w:firstLine="640" w:firstLineChars="200"/>
        <w:rPr>
          <w:rFonts w:ascii="Times New Roman" w:hAnsi="Times New Roman" w:eastAsia="仿宋"/>
          <w:color w:val="000000" w:themeColor="text1"/>
          <w:kern w:val="0"/>
          <w:sz w:val="32"/>
          <w:szCs w:val="32"/>
          <w14:textFill>
            <w14:solidFill>
              <w14:schemeClr w14:val="tx1"/>
            </w14:solidFill>
          </w14:textFill>
        </w:rPr>
      </w:pPr>
      <w:r>
        <w:rPr>
          <w:rFonts w:hint="eastAsia" w:ascii="Times New Roman" w:hAnsi="Times New Roman" w:eastAsia="仿宋"/>
          <w:color w:val="000000" w:themeColor="text1"/>
          <w:kern w:val="0"/>
          <w:sz w:val="32"/>
          <w:szCs w:val="32"/>
          <w14:textFill>
            <w14:solidFill>
              <w14:schemeClr w14:val="tx1"/>
            </w14:solidFill>
          </w14:textFill>
        </w:rPr>
        <w:t>到2025年，实现预拌砂浆使用率达到70%，平均产能利用率不低于40%，其中干混砂浆不低于50%，湿拌砂浆产能利用率不低于30%。</w:t>
      </w:r>
    </w:p>
    <w:p>
      <w:pPr>
        <w:adjustRightInd w:val="0"/>
        <w:snapToGrid w:val="0"/>
        <w:spacing w:line="360" w:lineRule="auto"/>
        <w:ind w:firstLine="480" w:firstLineChars="200"/>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kern w:val="0"/>
          <w:sz w:val="24"/>
          <w:szCs w:val="24"/>
          <w14:textFill>
            <w14:solidFill>
              <w14:schemeClr w14:val="tx1"/>
            </w14:solidFill>
          </w14:textFill>
        </w:rPr>
        <w:t>（注：到2025年预拌砂浆使用率目标完成情况下，预计可实现节约水泥11万吨以上，减少二氧化碳排放22万吨以上）。</w:t>
      </w:r>
    </w:p>
    <w:p>
      <w:pPr>
        <w:adjustRightInd w:val="0"/>
        <w:snapToGrid w:val="0"/>
        <w:spacing w:line="360" w:lineRule="auto"/>
        <w:ind w:firstLine="643" w:firstLineChars="200"/>
        <w:outlineLvl w:val="2"/>
        <w:rPr>
          <w:rFonts w:ascii="Times New Roman" w:hAnsi="Times New Roman" w:eastAsia="楷体"/>
          <w:b/>
          <w:color w:val="000000" w:themeColor="text1"/>
          <w:sz w:val="32"/>
          <w:szCs w:val="27"/>
          <w14:textFill>
            <w14:solidFill>
              <w14:schemeClr w14:val="tx1"/>
            </w14:solidFill>
          </w14:textFill>
        </w:rPr>
      </w:pPr>
      <w:bookmarkStart w:id="112" w:name="_Toc89203786"/>
      <w:r>
        <w:rPr>
          <w:rFonts w:ascii="Times New Roman" w:hAnsi="Times New Roman" w:eastAsia="楷体"/>
          <w:b/>
          <w:color w:val="000000" w:themeColor="text1"/>
          <w:sz w:val="32"/>
          <w:szCs w:val="27"/>
          <w14:textFill>
            <w14:solidFill>
              <w14:schemeClr w14:val="tx1"/>
            </w14:solidFill>
          </w14:textFill>
        </w:rPr>
        <w:t>（二）绿色发展目标</w:t>
      </w:r>
      <w:bookmarkEnd w:id="112"/>
    </w:p>
    <w:p>
      <w:pPr>
        <w:adjustRightInd w:val="0"/>
        <w:snapToGrid w:val="0"/>
        <w:spacing w:line="360" w:lineRule="auto"/>
        <w:ind w:firstLine="640" w:firstLineChars="200"/>
        <w:rPr>
          <w:rFonts w:ascii="Times New Roman" w:hAnsi="Times New Roman" w:eastAsia="仿宋"/>
          <w:color w:val="000000" w:themeColor="text1"/>
          <w:kern w:val="0"/>
          <w:sz w:val="32"/>
          <w:szCs w:val="32"/>
          <w14:textFill>
            <w14:solidFill>
              <w14:schemeClr w14:val="tx1"/>
            </w14:solidFill>
          </w14:textFill>
        </w:rPr>
      </w:pPr>
      <w:r>
        <w:rPr>
          <w:rFonts w:ascii="Times New Roman" w:hAnsi="Times New Roman" w:eastAsia="仿宋"/>
          <w:color w:val="000000" w:themeColor="text1"/>
          <w:kern w:val="0"/>
          <w:sz w:val="32"/>
          <w:szCs w:val="32"/>
          <w14:textFill>
            <w14:solidFill>
              <w14:schemeClr w14:val="tx1"/>
            </w14:solidFill>
          </w14:textFill>
        </w:rPr>
        <w:t>1.全市范围开展绿色生产评价，加快推进绿色建材产品认证，依法推行行业清洁化生产改造。到2025年，力争培育2家以上自治区示范企业。</w:t>
      </w:r>
    </w:p>
    <w:p>
      <w:pPr>
        <w:adjustRightInd w:val="0"/>
        <w:snapToGrid w:val="0"/>
        <w:spacing w:line="360" w:lineRule="auto"/>
        <w:ind w:firstLine="640" w:firstLineChars="200"/>
        <w:rPr>
          <w:rFonts w:ascii="Times New Roman" w:hAnsi="Times New Roman" w:eastAsia="仿宋"/>
          <w:color w:val="000000" w:themeColor="text1"/>
          <w:kern w:val="0"/>
          <w:sz w:val="32"/>
          <w:szCs w:val="32"/>
          <w14:textFill>
            <w14:solidFill>
              <w14:schemeClr w14:val="tx1"/>
            </w14:solidFill>
          </w14:textFill>
        </w:rPr>
      </w:pPr>
      <w:r>
        <w:rPr>
          <w:rFonts w:ascii="Times New Roman" w:hAnsi="Times New Roman" w:eastAsia="仿宋"/>
          <w:color w:val="000000" w:themeColor="text1"/>
          <w:kern w:val="0"/>
          <w:sz w:val="32"/>
          <w:szCs w:val="32"/>
          <w14:textFill>
            <w14:solidFill>
              <w14:schemeClr w14:val="tx1"/>
            </w14:solidFill>
          </w14:textFill>
        </w:rPr>
        <w:t>2.到2025年，全市预拌混凝土生产企业均达到《预拌混凝土绿色生产及管理技术规程》JGJ/T328绿色生产一星级及以上水平，其中50%达到二星级及以上水平；预拌混凝土单位产品能耗均达到《预拌混凝土单位产品能源消耗限额》GB36888标准2级能耗限额及以上水平，</w:t>
      </w:r>
      <w:r>
        <w:rPr>
          <w:rFonts w:hint="eastAsia" w:ascii="Times New Roman" w:hAnsi="Times New Roman" w:eastAsia="仿宋"/>
          <w:color w:val="000000" w:themeColor="text1"/>
          <w:kern w:val="0"/>
          <w:sz w:val="32"/>
          <w:szCs w:val="32"/>
          <w14:textFill>
            <w14:solidFill>
              <w14:schemeClr w14:val="tx1"/>
            </w14:solidFill>
          </w14:textFill>
        </w:rPr>
        <w:t>其中50%生产企业能效水平达到或优于1级能耗限额指标</w:t>
      </w:r>
      <w:r>
        <w:rPr>
          <w:rFonts w:ascii="Times New Roman" w:hAnsi="Times New Roman" w:eastAsia="仿宋"/>
          <w:color w:val="000000" w:themeColor="text1"/>
          <w:kern w:val="0"/>
          <w:sz w:val="32"/>
          <w:szCs w:val="32"/>
          <w14:textFill>
            <w14:solidFill>
              <w14:schemeClr w14:val="tx1"/>
            </w14:solidFill>
          </w14:textFill>
        </w:rPr>
        <w:t>；预拌混凝土生产水耗优于《</w:t>
      </w:r>
      <w:r>
        <w:fldChar w:fldCharType="begin"/>
      </w:r>
      <w:r>
        <w:instrText xml:space="preserve"> HYPERLINK "https://www.miit.gov.cn/api-gateway/jpaas-web-server/front/document/file-download?fileUrl=/cms_files/filemanager/1226211233/attach/202012/b73f28f6677d44e0be019189be720eeb.pdf&amp;fileName=%E5%B7%A5%E4%B8%9A%E7%94%A8%E6%B0%B4%E5%AE%9A%E9%A2%9D%EF%BC%9A%E9%A2%84%E6%8B%8C%E6%B7%B7%E5%87%9D%E5%9C%9F%E5%8F%8A%E6%B0%B4%E6%B3%A5%E5%88%B6%E5%93%81.pdf" </w:instrText>
      </w:r>
      <w:r>
        <w:fldChar w:fldCharType="separate"/>
      </w:r>
      <w:r>
        <w:rPr>
          <w:rFonts w:ascii="Times New Roman" w:hAnsi="Times New Roman" w:eastAsia="仿宋"/>
          <w:color w:val="000000" w:themeColor="text1"/>
          <w:kern w:val="0"/>
          <w:sz w:val="32"/>
          <w:szCs w:val="32"/>
          <w14:textFill>
            <w14:solidFill>
              <w14:schemeClr w14:val="tx1"/>
            </w14:solidFill>
          </w14:textFill>
        </w:rPr>
        <w:t>工业用水定额：预拌混凝土及水泥制品</w:t>
      </w:r>
      <w:r>
        <w:rPr>
          <w:rFonts w:ascii="Times New Roman" w:hAnsi="Times New Roman" w:eastAsia="仿宋"/>
          <w:color w:val="000000" w:themeColor="text1"/>
          <w:kern w:val="0"/>
          <w:sz w:val="32"/>
          <w:szCs w:val="32"/>
          <w14:textFill>
            <w14:solidFill>
              <w14:schemeClr w14:val="tx1"/>
            </w14:solidFill>
          </w14:textFill>
        </w:rPr>
        <w:fldChar w:fldCharType="end"/>
      </w:r>
      <w:r>
        <w:rPr>
          <w:rFonts w:ascii="Times New Roman" w:hAnsi="Times New Roman" w:eastAsia="仿宋"/>
          <w:color w:val="000000" w:themeColor="text1"/>
          <w:kern w:val="0"/>
          <w:sz w:val="32"/>
          <w:szCs w:val="32"/>
          <w14:textFill>
            <w14:solidFill>
              <w14:schemeClr w14:val="tx1"/>
            </w14:solidFill>
          </w14:textFill>
        </w:rPr>
        <w:t>》（水节约〔2020〕290号）通用值水平。</w:t>
      </w:r>
    </w:p>
    <w:p>
      <w:pPr>
        <w:adjustRightInd w:val="0"/>
        <w:snapToGrid w:val="0"/>
        <w:spacing w:line="360" w:lineRule="auto"/>
        <w:ind w:firstLine="640" w:firstLineChars="200"/>
        <w:rPr>
          <w:rFonts w:ascii="Times New Roman" w:hAnsi="Times New Roman" w:eastAsia="仿宋"/>
          <w:color w:val="000000" w:themeColor="text1"/>
          <w:kern w:val="0"/>
          <w:sz w:val="32"/>
          <w:szCs w:val="32"/>
          <w14:textFill>
            <w14:solidFill>
              <w14:schemeClr w14:val="tx1"/>
            </w14:solidFill>
          </w14:textFill>
        </w:rPr>
      </w:pPr>
      <w:r>
        <w:rPr>
          <w:rFonts w:ascii="Times New Roman" w:hAnsi="Times New Roman" w:eastAsia="仿宋"/>
          <w:color w:val="000000" w:themeColor="text1"/>
          <w:kern w:val="0"/>
          <w:sz w:val="32"/>
          <w:szCs w:val="32"/>
          <w14:textFill>
            <w14:solidFill>
              <w14:schemeClr w14:val="tx1"/>
            </w14:solidFill>
          </w14:textFill>
        </w:rPr>
        <w:t>3.到2025年，全市预拌砂浆及水泥制品生产企业建设或改造均达到绿色生产标准要求，实现清洁化生产；全市水泥制品生产企业均达到《水泥制品单位产品能源消耗限额》GB36263标准3级能耗限额及以上水平，</w:t>
      </w:r>
      <w:r>
        <w:rPr>
          <w:rFonts w:hint="eastAsia" w:ascii="Times New Roman" w:hAnsi="Times New Roman" w:eastAsia="仿宋"/>
          <w:color w:val="000000" w:themeColor="text1"/>
          <w:kern w:val="0"/>
          <w:sz w:val="32"/>
          <w:szCs w:val="32"/>
          <w14:textFill>
            <w14:solidFill>
              <w14:schemeClr w14:val="tx1"/>
            </w14:solidFill>
          </w14:textFill>
        </w:rPr>
        <w:t>其中50%生产企业能效水平达到或优于2级能耗限额指标</w:t>
      </w:r>
      <w:r>
        <w:rPr>
          <w:rFonts w:ascii="Times New Roman" w:hAnsi="Times New Roman" w:eastAsia="仿宋"/>
          <w:color w:val="000000" w:themeColor="text1"/>
          <w:kern w:val="0"/>
          <w:sz w:val="32"/>
          <w:szCs w:val="32"/>
          <w14:textFill>
            <w14:solidFill>
              <w14:schemeClr w14:val="tx1"/>
            </w14:solidFill>
          </w14:textFill>
        </w:rPr>
        <w:t>；水泥制品生产用水优于《</w:t>
      </w:r>
      <w:r>
        <w:fldChar w:fldCharType="begin"/>
      </w:r>
      <w:r>
        <w:instrText xml:space="preserve"> HYPERLINK "https://www.miit.gov.cn/api-gateway/jpaas-web-server/front/document/file-download?fileUrl=/cms_files/filemanager/1226211233/attach/202012/b73f28f6677d44e0be019189be720eeb.pdf&amp;fileName=%E5%B7%A5%E4%B8%9A%E7%94%A8%E6%B0%B4%E5%AE%9A%E9%A2%9D%EF%BC%9A%E9%A2%84%E6%8B%8C%E6%B7%B7%E5%87%9D%E5%9C%9F%E5%8F%8A%E6%B0%B4%E6%B3%A5%E5%88%B6%E5%93%81.pdf" </w:instrText>
      </w:r>
      <w:r>
        <w:fldChar w:fldCharType="separate"/>
      </w:r>
      <w:r>
        <w:rPr>
          <w:rFonts w:ascii="Times New Roman" w:hAnsi="Times New Roman" w:eastAsia="仿宋"/>
          <w:color w:val="000000" w:themeColor="text1"/>
          <w:kern w:val="0"/>
          <w:sz w:val="32"/>
          <w:szCs w:val="32"/>
          <w14:textFill>
            <w14:solidFill>
              <w14:schemeClr w14:val="tx1"/>
            </w14:solidFill>
          </w14:textFill>
        </w:rPr>
        <w:t>工业用水定额：预拌混凝土及水泥制品</w:t>
      </w:r>
      <w:r>
        <w:rPr>
          <w:rFonts w:ascii="Times New Roman" w:hAnsi="Times New Roman" w:eastAsia="仿宋"/>
          <w:color w:val="000000" w:themeColor="text1"/>
          <w:kern w:val="0"/>
          <w:sz w:val="32"/>
          <w:szCs w:val="32"/>
          <w14:textFill>
            <w14:solidFill>
              <w14:schemeClr w14:val="tx1"/>
            </w14:solidFill>
          </w14:textFill>
        </w:rPr>
        <w:fldChar w:fldCharType="end"/>
      </w:r>
      <w:r>
        <w:rPr>
          <w:rFonts w:ascii="Times New Roman" w:hAnsi="Times New Roman" w:eastAsia="仿宋"/>
          <w:color w:val="000000" w:themeColor="text1"/>
          <w:kern w:val="0"/>
          <w:sz w:val="32"/>
          <w:szCs w:val="32"/>
          <w14:textFill>
            <w14:solidFill>
              <w14:schemeClr w14:val="tx1"/>
            </w14:solidFill>
          </w14:textFill>
        </w:rPr>
        <w:t>》（水节约〔2020〕290号）通用值水平。</w:t>
      </w:r>
    </w:p>
    <w:p>
      <w:pPr>
        <w:adjustRightInd w:val="0"/>
        <w:snapToGrid w:val="0"/>
        <w:spacing w:line="360" w:lineRule="auto"/>
        <w:ind w:firstLine="643" w:firstLineChars="200"/>
        <w:outlineLvl w:val="2"/>
        <w:rPr>
          <w:rFonts w:ascii="Times New Roman" w:hAnsi="Times New Roman" w:eastAsia="楷体"/>
          <w:b/>
          <w:color w:val="000000" w:themeColor="text1"/>
          <w:sz w:val="32"/>
          <w:szCs w:val="27"/>
          <w14:textFill>
            <w14:solidFill>
              <w14:schemeClr w14:val="tx1"/>
            </w14:solidFill>
          </w14:textFill>
        </w:rPr>
      </w:pPr>
      <w:r>
        <w:rPr>
          <w:rFonts w:ascii="Times New Roman" w:hAnsi="Times New Roman" w:eastAsia="楷体"/>
          <w:b/>
          <w:color w:val="000000" w:themeColor="text1"/>
          <w:sz w:val="32"/>
          <w:szCs w:val="27"/>
          <w14:textFill>
            <w14:solidFill>
              <w14:schemeClr w14:val="tx1"/>
            </w14:solidFill>
          </w14:textFill>
        </w:rPr>
        <w:t>（三）健全产业链发展目标</w:t>
      </w:r>
    </w:p>
    <w:p>
      <w:pPr>
        <w:adjustRightInd w:val="0"/>
        <w:snapToGrid w:val="0"/>
        <w:spacing w:line="360" w:lineRule="auto"/>
        <w:ind w:firstLine="640" w:firstLineChars="200"/>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olor w:val="000000" w:themeColor="text1"/>
          <w:kern w:val="0"/>
          <w:sz w:val="32"/>
          <w:szCs w:val="32"/>
          <w14:textFill>
            <w14:solidFill>
              <w14:schemeClr w14:val="tx1"/>
            </w14:solidFill>
          </w14:textFill>
        </w:rPr>
        <w:t>到2025年，散装水泥产业链条更加健全，砂石与掺合料等质量和供应保障显著提高，水泥制品和特种砂浆产业发展实现高质量转型，产品生产与装备设施、生产性服务业共同发展，实现上下游协同、融合高质量发展</w:t>
      </w:r>
      <w:r>
        <w:rPr>
          <w:rFonts w:ascii="Times New Roman" w:hAnsi="Times New Roman" w:eastAsia="仿宋"/>
          <w:color w:val="000000" w:themeColor="text1"/>
          <w:kern w:val="0"/>
          <w:sz w:val="32"/>
          <w:szCs w:val="32"/>
          <w14:textFill>
            <w14:solidFill>
              <w14:schemeClr w14:val="tx1"/>
            </w14:solidFill>
          </w14:textFill>
        </w:rPr>
        <w:t>。其中，实现水泥制品规模以上企业占比达到</w:t>
      </w:r>
      <w:r>
        <w:rPr>
          <w:rFonts w:hint="eastAsia" w:ascii="Times New Roman" w:hAnsi="Times New Roman" w:eastAsia="仿宋"/>
          <w:color w:val="000000" w:themeColor="text1"/>
          <w:kern w:val="0"/>
          <w:sz w:val="32"/>
          <w:szCs w:val="32"/>
          <w14:textFill>
            <w14:solidFill>
              <w14:schemeClr w14:val="tx1"/>
            </w14:solidFill>
          </w14:textFill>
        </w:rPr>
        <w:t>3</w:t>
      </w:r>
      <w:r>
        <w:rPr>
          <w:rFonts w:ascii="Times New Roman" w:hAnsi="Times New Roman" w:eastAsia="仿宋"/>
          <w:color w:val="000000" w:themeColor="text1"/>
          <w:kern w:val="0"/>
          <w:sz w:val="32"/>
          <w:szCs w:val="32"/>
          <w14:textFill>
            <w14:solidFill>
              <w14:schemeClr w14:val="tx1"/>
            </w14:solidFill>
          </w14:textFill>
        </w:rPr>
        <w:t>0%以上，培育或引进1家国内龙头企业。</w:t>
      </w:r>
      <w:bookmarkStart w:id="113" w:name="_Toc24414"/>
    </w:p>
    <w:p>
      <w:pPr>
        <w:adjustRightInd w:val="0"/>
        <w:snapToGrid w:val="0"/>
        <w:spacing w:line="360" w:lineRule="auto"/>
        <w:ind w:firstLine="643" w:firstLineChars="200"/>
        <w:outlineLvl w:val="2"/>
        <w:rPr>
          <w:rFonts w:ascii="Times New Roman" w:hAnsi="Times New Roman" w:eastAsia="楷体"/>
          <w:b/>
          <w:color w:val="000000" w:themeColor="text1"/>
          <w:sz w:val="32"/>
          <w:szCs w:val="27"/>
          <w14:textFill>
            <w14:solidFill>
              <w14:schemeClr w14:val="tx1"/>
            </w14:solidFill>
          </w14:textFill>
        </w:rPr>
      </w:pPr>
      <w:bookmarkStart w:id="114" w:name="_Toc89203787"/>
      <w:r>
        <w:rPr>
          <w:rFonts w:ascii="Times New Roman" w:hAnsi="Times New Roman" w:eastAsia="楷体"/>
          <w:b/>
          <w:color w:val="000000" w:themeColor="text1"/>
          <w:sz w:val="32"/>
          <w:szCs w:val="27"/>
          <w14:textFill>
            <w14:solidFill>
              <w14:schemeClr w14:val="tx1"/>
            </w14:solidFill>
          </w14:textFill>
        </w:rPr>
        <w:t>（四）</w:t>
      </w:r>
      <w:bookmarkEnd w:id="113"/>
      <w:r>
        <w:rPr>
          <w:rFonts w:ascii="Times New Roman" w:hAnsi="Times New Roman" w:eastAsia="楷体"/>
          <w:b/>
          <w:color w:val="000000" w:themeColor="text1"/>
          <w:sz w:val="32"/>
          <w:szCs w:val="27"/>
          <w14:textFill>
            <w14:solidFill>
              <w14:schemeClr w14:val="tx1"/>
            </w14:solidFill>
          </w14:textFill>
        </w:rPr>
        <w:t>两化融合发展目标</w:t>
      </w:r>
      <w:bookmarkEnd w:id="114"/>
    </w:p>
    <w:p>
      <w:pPr>
        <w:pStyle w:val="2"/>
        <w:spacing w:after="0"/>
        <w:ind w:left="0" w:firstLine="640" w:firstLineChars="200"/>
        <w:rPr>
          <w:rFonts w:ascii="Times New Roman" w:hAnsi="Times New Roman" w:eastAsia="仿宋"/>
          <w:color w:val="000000" w:themeColor="text1"/>
          <w:kern w:val="0"/>
          <w:sz w:val="32"/>
          <w:szCs w:val="32"/>
          <w14:textFill>
            <w14:solidFill>
              <w14:schemeClr w14:val="tx1"/>
            </w14:solidFill>
          </w14:textFill>
        </w:rPr>
      </w:pPr>
      <w:r>
        <w:rPr>
          <w:rFonts w:ascii="Times New Roman" w:hAnsi="Times New Roman" w:eastAsia="仿宋"/>
          <w:color w:val="000000" w:themeColor="text1"/>
          <w:kern w:val="0"/>
          <w:sz w:val="32"/>
          <w:szCs w:val="32"/>
          <w14:textFill>
            <w14:solidFill>
              <w14:schemeClr w14:val="tx1"/>
            </w14:solidFill>
          </w14:textFill>
        </w:rPr>
        <w:t>推进散装水泥行业与信息技术的深度融合，在线监测、生产过程智能优化等应用基本普及，</w:t>
      </w:r>
      <w:r>
        <w:rPr>
          <w:rFonts w:hint="eastAsia" w:ascii="Times New Roman" w:hAnsi="Times New Roman" w:eastAsia="仿宋"/>
          <w:color w:val="000000" w:themeColor="text1"/>
          <w:kern w:val="0"/>
          <w:sz w:val="32"/>
          <w:szCs w:val="32"/>
          <w14:textFill>
            <w14:solidFill>
              <w14:schemeClr w14:val="tx1"/>
            </w14:solidFill>
          </w14:textFill>
        </w:rPr>
        <w:t>加工环节关键工艺数控化率、综合集成企业比例、管控集成企业比例、产供销集成企业比例优于行业内平均水平</w:t>
      </w:r>
      <w:r>
        <w:rPr>
          <w:rFonts w:ascii="Times New Roman" w:hAnsi="Times New Roman" w:eastAsia="仿宋"/>
          <w:color w:val="000000" w:themeColor="text1"/>
          <w:kern w:val="0"/>
          <w:sz w:val="32"/>
          <w:szCs w:val="32"/>
          <w14:textFill>
            <w14:solidFill>
              <w14:schemeClr w14:val="tx1"/>
            </w14:solidFill>
          </w14:textFill>
        </w:rPr>
        <w:t>；到2025年，建成1家行业智能制造示范工厂。</w:t>
      </w:r>
    </w:p>
    <w:p>
      <w:pPr>
        <w:widowControl/>
        <w:adjustRightInd w:val="0"/>
        <w:snapToGrid w:val="0"/>
        <w:spacing w:line="360" w:lineRule="auto"/>
        <w:jc w:val="center"/>
        <w:rPr>
          <w:rFonts w:ascii="Times New Roman" w:hAnsi="Times New Roman" w:eastAsia="黑体"/>
          <w:color w:val="000000" w:themeColor="text1"/>
          <w:kern w:val="0"/>
          <w:sz w:val="24"/>
          <w:szCs w:val="24"/>
          <w14:textFill>
            <w14:solidFill>
              <w14:schemeClr w14:val="tx1"/>
            </w14:solidFill>
          </w14:textFill>
        </w:rPr>
      </w:pPr>
      <w:r>
        <w:rPr>
          <w:rFonts w:ascii="Times New Roman" w:hAnsi="Times New Roman" w:eastAsia="仿宋"/>
          <w:b/>
          <w:bCs/>
          <w:color w:val="000000" w:themeColor="text1"/>
          <w:kern w:val="0"/>
          <w:sz w:val="24"/>
          <w:szCs w:val="24"/>
          <w14:textFill>
            <w14:solidFill>
              <w14:schemeClr w14:val="tx1"/>
            </w14:solidFill>
          </w14:textFill>
        </w:rPr>
        <w:t>表3-1</w:t>
      </w:r>
      <w:r>
        <w:rPr>
          <w:rFonts w:hint="eastAsia" w:ascii="Times New Roman" w:hAnsi="Times New Roman" w:eastAsia="仿宋"/>
          <w:b/>
          <w:bCs/>
          <w:color w:val="000000" w:themeColor="text1"/>
          <w:kern w:val="0"/>
          <w:sz w:val="24"/>
          <w:szCs w:val="24"/>
          <w14:textFill>
            <w14:solidFill>
              <w14:schemeClr w14:val="tx1"/>
            </w14:solidFill>
          </w14:textFill>
        </w:rPr>
        <w:t xml:space="preserve"> “</w:t>
      </w:r>
      <w:r>
        <w:rPr>
          <w:rFonts w:ascii="Times New Roman" w:hAnsi="Times New Roman" w:eastAsia="仿宋"/>
          <w:b/>
          <w:bCs/>
          <w:color w:val="000000" w:themeColor="text1"/>
          <w:kern w:val="0"/>
          <w:sz w:val="24"/>
          <w:szCs w:val="24"/>
          <w14:textFill>
            <w14:solidFill>
              <w14:schemeClr w14:val="tx1"/>
            </w14:solidFill>
          </w14:textFill>
        </w:rPr>
        <w:t>十四五</w:t>
      </w:r>
      <w:r>
        <w:rPr>
          <w:rFonts w:hint="eastAsia" w:ascii="Times New Roman" w:hAnsi="Times New Roman" w:eastAsia="仿宋"/>
          <w:b/>
          <w:bCs/>
          <w:color w:val="000000" w:themeColor="text1"/>
          <w:kern w:val="0"/>
          <w:sz w:val="24"/>
          <w:szCs w:val="24"/>
          <w14:textFill>
            <w14:solidFill>
              <w14:schemeClr w14:val="tx1"/>
            </w14:solidFill>
          </w14:textFill>
        </w:rPr>
        <w:t>”</w:t>
      </w:r>
      <w:r>
        <w:rPr>
          <w:rFonts w:ascii="Times New Roman" w:hAnsi="Times New Roman" w:eastAsia="仿宋"/>
          <w:b/>
          <w:bCs/>
          <w:color w:val="000000" w:themeColor="text1"/>
          <w:kern w:val="0"/>
          <w:sz w:val="24"/>
          <w:szCs w:val="24"/>
          <w14:textFill>
            <w14:solidFill>
              <w14:schemeClr w14:val="tx1"/>
            </w14:solidFill>
          </w14:textFill>
        </w:rPr>
        <w:t>钦州市散装水泥行业发展主要目标</w:t>
      </w:r>
    </w:p>
    <w:tbl>
      <w:tblPr>
        <w:tblStyle w:val="14"/>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64"/>
        <w:gridCol w:w="1995"/>
        <w:gridCol w:w="1351"/>
        <w:gridCol w:w="2644"/>
        <w:gridCol w:w="10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31" w:type="pct"/>
            <w:gridSpan w:val="2"/>
            <w:vAlign w:val="center"/>
          </w:tcPr>
          <w:p>
            <w:pPr>
              <w:adjustRightInd w:val="0"/>
              <w:snapToGrid w:val="0"/>
              <w:jc w:val="center"/>
              <w:rPr>
                <w:rFonts w:ascii="Times New Roman" w:hAnsi="Times New Roman" w:eastAsia="仿宋"/>
                <w:b/>
                <w:color w:val="000000" w:themeColor="text1"/>
                <w:sz w:val="24"/>
                <w:szCs w:val="20"/>
                <w14:textFill>
                  <w14:solidFill>
                    <w14:schemeClr w14:val="tx1"/>
                  </w14:solidFill>
                </w14:textFill>
              </w:rPr>
            </w:pPr>
            <w:r>
              <w:rPr>
                <w:rFonts w:ascii="Times New Roman" w:hAnsi="Times New Roman" w:eastAsia="仿宋"/>
                <w:b/>
                <w:color w:val="000000" w:themeColor="text1"/>
                <w:sz w:val="24"/>
                <w:szCs w:val="20"/>
                <w14:textFill>
                  <w14:solidFill>
                    <w14:schemeClr w14:val="tx1"/>
                  </w14:solidFill>
                </w14:textFill>
              </w:rPr>
              <w:t>指标</w:t>
            </w:r>
          </w:p>
        </w:tc>
        <w:tc>
          <w:tcPr>
            <w:tcW w:w="793" w:type="pct"/>
            <w:vAlign w:val="center"/>
          </w:tcPr>
          <w:p>
            <w:pPr>
              <w:adjustRightInd w:val="0"/>
              <w:snapToGrid w:val="0"/>
              <w:jc w:val="center"/>
              <w:rPr>
                <w:rFonts w:ascii="Times New Roman" w:hAnsi="Times New Roman" w:eastAsia="仿宋"/>
                <w:b/>
                <w:color w:val="000000" w:themeColor="text1"/>
                <w:sz w:val="24"/>
                <w:szCs w:val="20"/>
                <w14:textFill>
                  <w14:solidFill>
                    <w14:schemeClr w14:val="tx1"/>
                  </w14:solidFill>
                </w14:textFill>
              </w:rPr>
            </w:pPr>
            <w:r>
              <w:rPr>
                <w:rFonts w:ascii="Times New Roman" w:hAnsi="Times New Roman" w:eastAsia="仿宋"/>
                <w:b/>
                <w:color w:val="000000" w:themeColor="text1"/>
                <w:sz w:val="24"/>
                <w:szCs w:val="20"/>
                <w14:textFill>
                  <w14:solidFill>
                    <w14:schemeClr w14:val="tx1"/>
                  </w14:solidFill>
                </w14:textFill>
              </w:rPr>
              <w:t>202</w:t>
            </w:r>
            <w:r>
              <w:rPr>
                <w:rFonts w:hint="eastAsia" w:ascii="Times New Roman" w:hAnsi="Times New Roman" w:eastAsia="仿宋"/>
                <w:b/>
                <w:color w:val="000000" w:themeColor="text1"/>
                <w:sz w:val="24"/>
                <w:szCs w:val="20"/>
                <w14:textFill>
                  <w14:solidFill>
                    <w14:schemeClr w14:val="tx1"/>
                  </w14:solidFill>
                </w14:textFill>
              </w:rPr>
              <w:t>1</w:t>
            </w:r>
            <w:r>
              <w:rPr>
                <w:rFonts w:ascii="Times New Roman" w:hAnsi="Times New Roman" w:eastAsia="仿宋"/>
                <w:b/>
                <w:color w:val="000000" w:themeColor="text1"/>
                <w:sz w:val="24"/>
                <w:szCs w:val="20"/>
                <w14:textFill>
                  <w14:solidFill>
                    <w14:schemeClr w14:val="tx1"/>
                  </w14:solidFill>
                </w14:textFill>
              </w:rPr>
              <w:t>年</w:t>
            </w:r>
          </w:p>
          <w:p>
            <w:pPr>
              <w:adjustRightInd w:val="0"/>
              <w:snapToGrid w:val="0"/>
              <w:jc w:val="center"/>
              <w:rPr>
                <w:rFonts w:ascii="Times New Roman" w:hAnsi="Times New Roman" w:eastAsia="仿宋"/>
                <w:b/>
                <w:color w:val="000000" w:themeColor="text1"/>
                <w:sz w:val="24"/>
                <w:szCs w:val="20"/>
                <w14:textFill>
                  <w14:solidFill>
                    <w14:schemeClr w14:val="tx1"/>
                  </w14:solidFill>
                </w14:textFill>
              </w:rPr>
            </w:pPr>
            <w:r>
              <w:rPr>
                <w:rFonts w:ascii="Times New Roman" w:hAnsi="Times New Roman" w:eastAsia="仿宋"/>
                <w:b/>
                <w:color w:val="000000" w:themeColor="text1"/>
                <w:sz w:val="24"/>
                <w:szCs w:val="20"/>
                <w14:textFill>
                  <w14:solidFill>
                    <w14:schemeClr w14:val="tx1"/>
                  </w14:solidFill>
                </w14:textFill>
              </w:rPr>
              <w:t>实际</w:t>
            </w:r>
          </w:p>
        </w:tc>
        <w:tc>
          <w:tcPr>
            <w:tcW w:w="1552" w:type="pct"/>
            <w:vAlign w:val="center"/>
          </w:tcPr>
          <w:p>
            <w:pPr>
              <w:adjustRightInd w:val="0"/>
              <w:snapToGrid w:val="0"/>
              <w:jc w:val="center"/>
              <w:rPr>
                <w:rFonts w:ascii="Times New Roman" w:hAnsi="Times New Roman" w:eastAsia="仿宋"/>
                <w:b/>
                <w:color w:val="000000" w:themeColor="text1"/>
                <w:sz w:val="24"/>
                <w:szCs w:val="20"/>
                <w14:textFill>
                  <w14:solidFill>
                    <w14:schemeClr w14:val="tx1"/>
                  </w14:solidFill>
                </w14:textFill>
              </w:rPr>
            </w:pPr>
            <w:r>
              <w:rPr>
                <w:rFonts w:ascii="Times New Roman" w:hAnsi="Times New Roman" w:eastAsia="仿宋"/>
                <w:b/>
                <w:color w:val="000000" w:themeColor="text1"/>
                <w:sz w:val="24"/>
                <w:szCs w:val="20"/>
                <w14:textFill>
                  <w14:solidFill>
                    <w14:schemeClr w14:val="tx1"/>
                  </w14:solidFill>
                </w14:textFill>
              </w:rPr>
              <w:t>2025年目标</w:t>
            </w:r>
          </w:p>
        </w:tc>
        <w:tc>
          <w:tcPr>
            <w:tcW w:w="622" w:type="pct"/>
            <w:vAlign w:val="center"/>
          </w:tcPr>
          <w:p>
            <w:pPr>
              <w:adjustRightInd w:val="0"/>
              <w:snapToGrid w:val="0"/>
              <w:jc w:val="center"/>
              <w:rPr>
                <w:rFonts w:ascii="Times New Roman" w:hAnsi="Times New Roman" w:eastAsia="仿宋"/>
                <w:b/>
                <w:color w:val="000000" w:themeColor="text1"/>
                <w:sz w:val="24"/>
                <w:szCs w:val="20"/>
                <w14:textFill>
                  <w14:solidFill>
                    <w14:schemeClr w14:val="tx1"/>
                  </w14:solidFill>
                </w14:textFill>
              </w:rPr>
            </w:pPr>
            <w:r>
              <w:rPr>
                <w:rFonts w:ascii="Times New Roman" w:hAnsi="Times New Roman" w:eastAsia="仿宋"/>
                <w:b/>
                <w:color w:val="000000" w:themeColor="text1"/>
                <w:sz w:val="24"/>
                <w:szCs w:val="20"/>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5"/>
            <w:vAlign w:val="center"/>
          </w:tcPr>
          <w:p>
            <w:pPr>
              <w:adjustRightInd w:val="0"/>
              <w:snapToGrid w:val="0"/>
              <w:rPr>
                <w:rFonts w:ascii="Times New Roman" w:hAnsi="Times New Roman" w:eastAsia="仿宋"/>
                <w:b/>
                <w:color w:val="000000" w:themeColor="text1"/>
                <w:sz w:val="24"/>
                <w:szCs w:val="20"/>
                <w14:textFill>
                  <w14:solidFill>
                    <w14:schemeClr w14:val="tx1"/>
                  </w14:solidFill>
                </w14:textFill>
              </w:rPr>
            </w:pPr>
            <w:r>
              <w:rPr>
                <w:rFonts w:ascii="Times New Roman" w:hAnsi="Times New Roman" w:eastAsia="仿宋"/>
                <w:b/>
                <w:color w:val="000000" w:themeColor="text1"/>
                <w:sz w:val="24"/>
                <w:szCs w:val="20"/>
                <w14:textFill>
                  <w14:solidFill>
                    <w14:schemeClr w14:val="tx1"/>
                  </w14:solidFill>
                </w14:textFill>
              </w:rPr>
              <w:t>一、规模目标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31" w:type="pct"/>
            <w:gridSpan w:val="2"/>
            <w:vAlign w:val="center"/>
          </w:tcPr>
          <w:p>
            <w:pPr>
              <w:adjustRightInd w:val="0"/>
              <w:snapToGrid w:val="0"/>
              <w:rPr>
                <w:rFonts w:ascii="Times New Roman" w:hAnsi="Times New Roman" w:eastAsia="仿宋"/>
                <w:bCs/>
                <w:color w:val="000000" w:themeColor="text1"/>
                <w:sz w:val="24"/>
                <w:szCs w:val="20"/>
                <w14:textFill>
                  <w14:solidFill>
                    <w14:schemeClr w14:val="tx1"/>
                  </w14:solidFill>
                </w14:textFill>
              </w:rPr>
            </w:pPr>
            <w:r>
              <w:rPr>
                <w:rFonts w:ascii="Times New Roman" w:hAnsi="Times New Roman" w:eastAsia="仿宋"/>
                <w:bCs/>
                <w:color w:val="000000" w:themeColor="text1"/>
                <w:sz w:val="24"/>
                <w:szCs w:val="20"/>
                <w14:textFill>
                  <w14:solidFill>
                    <w14:schemeClr w14:val="tx1"/>
                  </w14:solidFill>
                </w14:textFill>
              </w:rPr>
              <w:t>水泥散装率</w:t>
            </w:r>
            <w:r>
              <w:rPr>
                <w:rFonts w:ascii="Times New Roman" w:hAnsi="Times New Roman" w:eastAsia="仿宋"/>
                <w:color w:val="000000" w:themeColor="text1"/>
                <w:sz w:val="24"/>
                <w:szCs w:val="20"/>
                <w14:textFill>
                  <w14:solidFill>
                    <w14:schemeClr w14:val="tx1"/>
                  </w14:solidFill>
                </w14:textFill>
              </w:rPr>
              <w:t>（%）</w:t>
            </w:r>
          </w:p>
        </w:tc>
        <w:tc>
          <w:tcPr>
            <w:tcW w:w="793" w:type="pct"/>
            <w:vAlign w:val="center"/>
          </w:tcPr>
          <w:p>
            <w:pPr>
              <w:adjustRightInd w:val="0"/>
              <w:snapToGrid w:val="0"/>
              <w:jc w:val="center"/>
              <w:rPr>
                <w:rFonts w:ascii="Times New Roman" w:hAnsi="Times New Roman" w:eastAsia="仿宋"/>
                <w:bCs/>
                <w:color w:val="000000" w:themeColor="text1"/>
                <w:sz w:val="24"/>
                <w:szCs w:val="20"/>
                <w14:textFill>
                  <w14:solidFill>
                    <w14:schemeClr w14:val="tx1"/>
                  </w14:solidFill>
                </w14:textFill>
              </w:rPr>
            </w:pPr>
            <w:r>
              <w:rPr>
                <w:rFonts w:ascii="Times New Roman" w:hAnsi="Times New Roman" w:eastAsia="仿宋"/>
                <w:bCs/>
                <w:color w:val="000000" w:themeColor="text1"/>
                <w:sz w:val="24"/>
                <w:szCs w:val="20"/>
                <w14:textFill>
                  <w14:solidFill>
                    <w14:schemeClr w14:val="tx1"/>
                  </w14:solidFill>
                </w14:textFill>
              </w:rPr>
              <w:t>60</w:t>
            </w:r>
          </w:p>
        </w:tc>
        <w:tc>
          <w:tcPr>
            <w:tcW w:w="1552" w:type="pct"/>
            <w:vAlign w:val="center"/>
          </w:tcPr>
          <w:p>
            <w:pPr>
              <w:adjustRightInd w:val="0"/>
              <w:snapToGrid w:val="0"/>
              <w:jc w:val="center"/>
              <w:rPr>
                <w:rFonts w:ascii="Times New Roman" w:hAnsi="Times New Roman" w:eastAsia="仿宋"/>
                <w:bCs/>
                <w:color w:val="000000" w:themeColor="text1"/>
                <w:sz w:val="24"/>
                <w:szCs w:val="20"/>
                <w14:textFill>
                  <w14:solidFill>
                    <w14:schemeClr w14:val="tx1"/>
                  </w14:solidFill>
                </w14:textFill>
              </w:rPr>
            </w:pPr>
            <w:r>
              <w:rPr>
                <w:rFonts w:ascii="Times New Roman" w:hAnsi="Times New Roman" w:eastAsia="仿宋"/>
                <w:bCs/>
                <w:color w:val="000000" w:themeColor="text1"/>
                <w:sz w:val="24"/>
                <w:szCs w:val="20"/>
                <w14:textFill>
                  <w14:solidFill>
                    <w14:schemeClr w14:val="tx1"/>
                  </w14:solidFill>
                </w14:textFill>
              </w:rPr>
              <w:t>80</w:t>
            </w:r>
          </w:p>
        </w:tc>
        <w:tc>
          <w:tcPr>
            <w:tcW w:w="622" w:type="pct"/>
            <w:vAlign w:val="center"/>
          </w:tcPr>
          <w:p>
            <w:pPr>
              <w:adjustRightInd w:val="0"/>
              <w:snapToGrid w:val="0"/>
              <w:jc w:val="center"/>
              <w:rPr>
                <w:rFonts w:ascii="Times New Roman" w:hAnsi="Times New Roman" w:eastAsia="仿宋"/>
                <w:color w:val="000000" w:themeColor="text1"/>
                <w:sz w:val="24"/>
                <w:szCs w:val="20"/>
                <w14:textFill>
                  <w14:solidFill>
                    <w14:schemeClr w14:val="tx1"/>
                  </w14:solidFill>
                </w14:textFill>
              </w:rPr>
            </w:pPr>
            <w:r>
              <w:rPr>
                <w:rFonts w:ascii="Times New Roman" w:hAnsi="Times New Roman" w:eastAsia="仿宋"/>
                <w:color w:val="000000" w:themeColor="text1"/>
                <w:sz w:val="24"/>
                <w:szCs w:val="20"/>
                <w14:textFill>
                  <w14:solidFill>
                    <w14:schemeClr w14:val="tx1"/>
                  </w14:solidFill>
                </w14:textFill>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31" w:type="pct"/>
            <w:gridSpan w:val="2"/>
            <w:vAlign w:val="center"/>
          </w:tcPr>
          <w:p>
            <w:pPr>
              <w:adjustRightInd w:val="0"/>
              <w:snapToGrid w:val="0"/>
              <w:rPr>
                <w:rFonts w:ascii="Times New Roman" w:hAnsi="Times New Roman" w:eastAsia="仿宋"/>
                <w:bCs/>
                <w:color w:val="000000" w:themeColor="text1"/>
                <w:sz w:val="24"/>
                <w:szCs w:val="20"/>
                <w14:textFill>
                  <w14:solidFill>
                    <w14:schemeClr w14:val="tx1"/>
                  </w14:solidFill>
                </w14:textFill>
              </w:rPr>
            </w:pPr>
            <w:r>
              <w:rPr>
                <w:rFonts w:ascii="Times New Roman" w:hAnsi="Times New Roman" w:eastAsia="仿宋"/>
                <w:bCs/>
                <w:color w:val="000000" w:themeColor="text1"/>
                <w:sz w:val="24"/>
                <w:szCs w:val="20"/>
                <w14:textFill>
                  <w14:solidFill>
                    <w14:schemeClr w14:val="tx1"/>
                  </w14:solidFill>
                </w14:textFill>
              </w:rPr>
              <w:t>中心城区及周边乡镇预拌混凝土产能利用率</w:t>
            </w:r>
            <w:r>
              <w:rPr>
                <w:rFonts w:ascii="Times New Roman" w:hAnsi="Times New Roman" w:eastAsia="仿宋"/>
                <w:color w:val="000000" w:themeColor="text1"/>
                <w:sz w:val="24"/>
                <w:szCs w:val="20"/>
                <w14:textFill>
                  <w14:solidFill>
                    <w14:schemeClr w14:val="tx1"/>
                  </w14:solidFill>
                </w14:textFill>
              </w:rPr>
              <w:t>（%）</w:t>
            </w:r>
          </w:p>
        </w:tc>
        <w:tc>
          <w:tcPr>
            <w:tcW w:w="793" w:type="pct"/>
            <w:vAlign w:val="center"/>
          </w:tcPr>
          <w:p>
            <w:pPr>
              <w:adjustRightInd w:val="0"/>
              <w:snapToGrid w:val="0"/>
              <w:jc w:val="center"/>
              <w:rPr>
                <w:rFonts w:ascii="Times New Roman" w:hAnsi="Times New Roman" w:eastAsia="仿宋"/>
                <w:bCs/>
                <w:color w:val="000000" w:themeColor="text1"/>
                <w:sz w:val="24"/>
                <w:szCs w:val="20"/>
                <w14:textFill>
                  <w14:solidFill>
                    <w14:schemeClr w14:val="tx1"/>
                  </w14:solidFill>
                </w14:textFill>
              </w:rPr>
            </w:pPr>
            <w:r>
              <w:rPr>
                <w:rFonts w:hint="eastAsia" w:ascii="Times New Roman" w:hAnsi="Times New Roman" w:eastAsia="仿宋"/>
                <w:bCs/>
                <w:color w:val="000000" w:themeColor="text1"/>
                <w:sz w:val="24"/>
                <w:szCs w:val="20"/>
                <w14:textFill>
                  <w14:solidFill>
                    <w14:schemeClr w14:val="tx1"/>
                  </w14:solidFill>
                </w14:textFill>
              </w:rPr>
              <w:t>23</w:t>
            </w:r>
          </w:p>
        </w:tc>
        <w:tc>
          <w:tcPr>
            <w:tcW w:w="1552" w:type="pct"/>
            <w:vAlign w:val="center"/>
          </w:tcPr>
          <w:p>
            <w:pPr>
              <w:adjustRightInd w:val="0"/>
              <w:snapToGrid w:val="0"/>
              <w:jc w:val="center"/>
              <w:rPr>
                <w:rFonts w:ascii="Times New Roman" w:hAnsi="Times New Roman" w:eastAsia="仿宋"/>
                <w:bCs/>
                <w:color w:val="000000" w:themeColor="text1"/>
                <w:sz w:val="24"/>
                <w:szCs w:val="20"/>
                <w14:textFill>
                  <w14:solidFill>
                    <w14:schemeClr w14:val="tx1"/>
                  </w14:solidFill>
                </w14:textFill>
              </w:rPr>
            </w:pPr>
            <w:r>
              <w:rPr>
                <w:rFonts w:hint="eastAsia" w:ascii="Times New Roman" w:hAnsi="Times New Roman" w:eastAsia="仿宋"/>
                <w:bCs/>
                <w:color w:val="000000" w:themeColor="text1"/>
                <w:sz w:val="24"/>
                <w:szCs w:val="20"/>
                <w14:textFill>
                  <w14:solidFill>
                    <w14:schemeClr w14:val="tx1"/>
                  </w14:solidFill>
                </w14:textFill>
              </w:rPr>
              <w:t>35</w:t>
            </w:r>
          </w:p>
        </w:tc>
        <w:tc>
          <w:tcPr>
            <w:tcW w:w="622" w:type="pct"/>
            <w:vAlign w:val="center"/>
          </w:tcPr>
          <w:p>
            <w:pPr>
              <w:adjustRightInd w:val="0"/>
              <w:snapToGrid w:val="0"/>
              <w:jc w:val="center"/>
              <w:rPr>
                <w:rFonts w:ascii="Times New Roman" w:hAnsi="Times New Roman" w:eastAsia="仿宋"/>
                <w:bCs/>
                <w:color w:val="000000" w:themeColor="text1"/>
                <w:sz w:val="24"/>
                <w:szCs w:val="20"/>
                <w14:textFill>
                  <w14:solidFill>
                    <w14:schemeClr w14:val="tx1"/>
                  </w14:solidFill>
                </w14:textFill>
              </w:rPr>
            </w:pPr>
            <w:r>
              <w:rPr>
                <w:rFonts w:ascii="Times New Roman" w:hAnsi="Times New Roman" w:eastAsia="仿宋"/>
                <w:bCs/>
                <w:color w:val="000000" w:themeColor="text1"/>
                <w:sz w:val="24"/>
                <w:szCs w:val="20"/>
                <w14:textFill>
                  <w14:solidFill>
                    <w14:schemeClr w14:val="tx1"/>
                  </w14:solidFill>
                </w14:textFill>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31" w:type="pct"/>
            <w:gridSpan w:val="2"/>
            <w:vAlign w:val="center"/>
          </w:tcPr>
          <w:p>
            <w:pPr>
              <w:adjustRightInd w:val="0"/>
              <w:snapToGrid w:val="0"/>
              <w:rPr>
                <w:rFonts w:ascii="Times New Roman" w:hAnsi="Times New Roman" w:eastAsia="仿宋"/>
                <w:bCs/>
                <w:color w:val="000000" w:themeColor="text1"/>
                <w:sz w:val="24"/>
                <w:szCs w:val="20"/>
                <w14:textFill>
                  <w14:solidFill>
                    <w14:schemeClr w14:val="tx1"/>
                  </w14:solidFill>
                </w14:textFill>
              </w:rPr>
            </w:pPr>
            <w:r>
              <w:rPr>
                <w:rFonts w:ascii="Times New Roman" w:hAnsi="Times New Roman" w:eastAsia="仿宋"/>
                <w:bCs/>
                <w:color w:val="000000" w:themeColor="text1"/>
                <w:sz w:val="24"/>
                <w:szCs w:val="20"/>
                <w14:textFill>
                  <w14:solidFill>
                    <w14:schemeClr w14:val="tx1"/>
                  </w14:solidFill>
                </w14:textFill>
              </w:rPr>
              <w:t>乡镇农村市场预拌混凝土使用率（%）</w:t>
            </w:r>
          </w:p>
        </w:tc>
        <w:tc>
          <w:tcPr>
            <w:tcW w:w="793" w:type="pct"/>
            <w:vAlign w:val="center"/>
          </w:tcPr>
          <w:p>
            <w:pPr>
              <w:adjustRightInd w:val="0"/>
              <w:snapToGrid w:val="0"/>
              <w:jc w:val="center"/>
              <w:rPr>
                <w:rFonts w:ascii="Times New Roman" w:hAnsi="Times New Roman" w:eastAsia="仿宋"/>
                <w:bCs/>
                <w:color w:val="000000" w:themeColor="text1"/>
                <w:sz w:val="24"/>
                <w:szCs w:val="20"/>
                <w14:textFill>
                  <w14:solidFill>
                    <w14:schemeClr w14:val="tx1"/>
                  </w14:solidFill>
                </w14:textFill>
              </w:rPr>
            </w:pPr>
            <w:r>
              <w:rPr>
                <w:rFonts w:ascii="Times New Roman" w:hAnsi="Times New Roman" w:eastAsia="仿宋"/>
                <w:bCs/>
                <w:color w:val="000000" w:themeColor="text1"/>
                <w:sz w:val="24"/>
                <w:szCs w:val="20"/>
                <w14:textFill>
                  <w14:solidFill>
                    <w14:schemeClr w14:val="tx1"/>
                  </w14:solidFill>
                </w14:textFill>
              </w:rPr>
              <w:t>40</w:t>
            </w:r>
          </w:p>
        </w:tc>
        <w:tc>
          <w:tcPr>
            <w:tcW w:w="1552" w:type="pct"/>
            <w:vAlign w:val="center"/>
          </w:tcPr>
          <w:p>
            <w:pPr>
              <w:adjustRightInd w:val="0"/>
              <w:snapToGrid w:val="0"/>
              <w:jc w:val="center"/>
              <w:rPr>
                <w:rFonts w:ascii="Times New Roman" w:hAnsi="Times New Roman" w:eastAsia="仿宋"/>
                <w:bCs/>
                <w:color w:val="000000" w:themeColor="text1"/>
                <w:sz w:val="24"/>
                <w:szCs w:val="20"/>
                <w14:textFill>
                  <w14:solidFill>
                    <w14:schemeClr w14:val="tx1"/>
                  </w14:solidFill>
                </w14:textFill>
              </w:rPr>
            </w:pPr>
            <w:r>
              <w:rPr>
                <w:rFonts w:ascii="Times New Roman" w:hAnsi="Times New Roman" w:eastAsia="仿宋"/>
                <w:bCs/>
                <w:color w:val="000000" w:themeColor="text1"/>
                <w:sz w:val="24"/>
                <w:szCs w:val="20"/>
                <w14:textFill>
                  <w14:solidFill>
                    <w14:schemeClr w14:val="tx1"/>
                  </w14:solidFill>
                </w14:textFill>
              </w:rPr>
              <w:t>50</w:t>
            </w:r>
          </w:p>
        </w:tc>
        <w:tc>
          <w:tcPr>
            <w:tcW w:w="622" w:type="pct"/>
            <w:vAlign w:val="center"/>
          </w:tcPr>
          <w:p>
            <w:pPr>
              <w:adjustRightInd w:val="0"/>
              <w:snapToGrid w:val="0"/>
              <w:jc w:val="center"/>
              <w:rPr>
                <w:rFonts w:ascii="Times New Roman" w:hAnsi="Times New Roman" w:eastAsia="仿宋"/>
                <w:bCs/>
                <w:color w:val="000000" w:themeColor="text1"/>
                <w:sz w:val="24"/>
                <w:szCs w:val="20"/>
                <w14:textFill>
                  <w14:solidFill>
                    <w14:schemeClr w14:val="tx1"/>
                  </w14:solidFill>
                </w14:textFill>
              </w:rPr>
            </w:pPr>
            <w:r>
              <w:rPr>
                <w:rFonts w:ascii="Times New Roman" w:hAnsi="Times New Roman" w:eastAsia="仿宋"/>
                <w:bCs/>
                <w:color w:val="000000" w:themeColor="text1"/>
                <w:sz w:val="24"/>
                <w:szCs w:val="20"/>
                <w14:textFill>
                  <w14:solidFill>
                    <w14:schemeClr w14:val="tx1"/>
                  </w14:solidFill>
                </w14:textFill>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31" w:type="pct"/>
            <w:gridSpan w:val="2"/>
            <w:vAlign w:val="center"/>
          </w:tcPr>
          <w:p>
            <w:pPr>
              <w:adjustRightInd w:val="0"/>
              <w:snapToGrid w:val="0"/>
              <w:rPr>
                <w:rFonts w:ascii="Times New Roman" w:hAnsi="Times New Roman" w:eastAsia="仿宋"/>
                <w:b/>
                <w:color w:val="000000" w:themeColor="text1"/>
                <w:sz w:val="24"/>
                <w:szCs w:val="20"/>
                <w14:textFill>
                  <w14:solidFill>
                    <w14:schemeClr w14:val="tx1"/>
                  </w14:solidFill>
                </w14:textFill>
              </w:rPr>
            </w:pPr>
            <w:r>
              <w:rPr>
                <w:rFonts w:ascii="Times New Roman" w:hAnsi="Times New Roman" w:eastAsia="仿宋"/>
                <w:color w:val="000000" w:themeColor="text1"/>
                <w:sz w:val="24"/>
                <w:szCs w:val="20"/>
                <w14:textFill>
                  <w14:solidFill>
                    <w14:schemeClr w14:val="tx1"/>
                  </w14:solidFill>
                </w14:textFill>
              </w:rPr>
              <w:t>预拌砂浆使用率（%）</w:t>
            </w:r>
          </w:p>
        </w:tc>
        <w:tc>
          <w:tcPr>
            <w:tcW w:w="793" w:type="pct"/>
            <w:vAlign w:val="center"/>
          </w:tcPr>
          <w:p>
            <w:pPr>
              <w:adjustRightInd w:val="0"/>
              <w:snapToGrid w:val="0"/>
              <w:jc w:val="center"/>
              <w:rPr>
                <w:rFonts w:ascii="Times New Roman" w:hAnsi="Times New Roman" w:eastAsia="仿宋"/>
                <w:b/>
                <w:color w:val="000000" w:themeColor="text1"/>
                <w:sz w:val="24"/>
                <w:szCs w:val="20"/>
                <w14:textFill>
                  <w14:solidFill>
                    <w14:schemeClr w14:val="tx1"/>
                  </w14:solidFill>
                </w14:textFill>
              </w:rPr>
            </w:pPr>
            <w:r>
              <w:rPr>
                <w:rFonts w:ascii="Times New Roman" w:hAnsi="Times New Roman" w:eastAsia="仿宋"/>
                <w:color w:val="000000" w:themeColor="text1"/>
                <w:sz w:val="24"/>
                <w:szCs w:val="20"/>
                <w14:textFill>
                  <w14:solidFill>
                    <w14:schemeClr w14:val="tx1"/>
                  </w14:solidFill>
                </w14:textFill>
              </w:rPr>
              <w:t>—</w:t>
            </w:r>
          </w:p>
        </w:tc>
        <w:tc>
          <w:tcPr>
            <w:tcW w:w="1552" w:type="pct"/>
            <w:vAlign w:val="center"/>
          </w:tcPr>
          <w:p>
            <w:pPr>
              <w:adjustRightInd w:val="0"/>
              <w:snapToGrid w:val="0"/>
              <w:jc w:val="center"/>
              <w:rPr>
                <w:rFonts w:ascii="Times New Roman" w:hAnsi="Times New Roman" w:eastAsia="仿宋"/>
                <w:b/>
                <w:color w:val="000000" w:themeColor="text1"/>
                <w:sz w:val="24"/>
                <w:szCs w:val="20"/>
                <w14:textFill>
                  <w14:solidFill>
                    <w14:schemeClr w14:val="tx1"/>
                  </w14:solidFill>
                </w14:textFill>
              </w:rPr>
            </w:pPr>
            <w:r>
              <w:rPr>
                <w:rFonts w:hint="eastAsia" w:ascii="Times New Roman" w:hAnsi="Times New Roman" w:eastAsia="仿宋"/>
                <w:color w:val="000000" w:themeColor="text1"/>
                <w:sz w:val="24"/>
                <w:szCs w:val="20"/>
                <w14:textFill>
                  <w14:solidFill>
                    <w14:schemeClr w14:val="tx1"/>
                  </w14:solidFill>
                </w14:textFill>
              </w:rPr>
              <w:t>7</w:t>
            </w:r>
            <w:r>
              <w:rPr>
                <w:rFonts w:ascii="Times New Roman" w:hAnsi="Times New Roman" w:eastAsia="仿宋"/>
                <w:color w:val="000000" w:themeColor="text1"/>
                <w:sz w:val="24"/>
                <w:szCs w:val="20"/>
                <w14:textFill>
                  <w14:solidFill>
                    <w14:schemeClr w14:val="tx1"/>
                  </w14:solidFill>
                </w14:textFill>
              </w:rPr>
              <w:t>0</w:t>
            </w:r>
          </w:p>
        </w:tc>
        <w:tc>
          <w:tcPr>
            <w:tcW w:w="622" w:type="pct"/>
            <w:vAlign w:val="center"/>
          </w:tcPr>
          <w:p>
            <w:pPr>
              <w:adjustRightInd w:val="0"/>
              <w:snapToGrid w:val="0"/>
              <w:jc w:val="center"/>
              <w:rPr>
                <w:rFonts w:ascii="Times New Roman" w:hAnsi="Times New Roman" w:eastAsia="仿宋"/>
                <w:color w:val="000000" w:themeColor="text1"/>
                <w:sz w:val="24"/>
                <w:szCs w:val="20"/>
                <w14:textFill>
                  <w14:solidFill>
                    <w14:schemeClr w14:val="tx1"/>
                  </w14:solidFill>
                </w14:textFill>
              </w:rPr>
            </w:pPr>
            <w:r>
              <w:rPr>
                <w:rFonts w:ascii="Times New Roman" w:hAnsi="Times New Roman" w:eastAsia="仿宋"/>
                <w:color w:val="000000" w:themeColor="text1"/>
                <w:sz w:val="24"/>
                <w:szCs w:val="20"/>
                <w14:textFill>
                  <w14:solidFill>
                    <w14:schemeClr w14:val="tx1"/>
                  </w14:solidFill>
                </w14:textFill>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31" w:type="pct"/>
            <w:gridSpan w:val="2"/>
            <w:vAlign w:val="center"/>
          </w:tcPr>
          <w:p>
            <w:pPr>
              <w:adjustRightInd w:val="0"/>
              <w:snapToGrid w:val="0"/>
              <w:rPr>
                <w:rFonts w:ascii="Times New Roman" w:hAnsi="Times New Roman" w:eastAsia="仿宋"/>
                <w:color w:val="000000" w:themeColor="text1"/>
                <w:sz w:val="24"/>
                <w:szCs w:val="20"/>
                <w14:textFill>
                  <w14:solidFill>
                    <w14:schemeClr w14:val="tx1"/>
                  </w14:solidFill>
                </w14:textFill>
              </w:rPr>
            </w:pPr>
            <w:r>
              <w:rPr>
                <w:rFonts w:ascii="Times New Roman" w:hAnsi="Times New Roman" w:eastAsia="仿宋"/>
                <w:color w:val="000000" w:themeColor="text1"/>
                <w:sz w:val="24"/>
                <w:szCs w:val="20"/>
                <w14:textFill>
                  <w14:solidFill>
                    <w14:schemeClr w14:val="tx1"/>
                  </w14:solidFill>
                </w14:textFill>
              </w:rPr>
              <w:t>预拌砂浆平均产能利用率%</w:t>
            </w:r>
          </w:p>
        </w:tc>
        <w:tc>
          <w:tcPr>
            <w:tcW w:w="793" w:type="pct"/>
            <w:vAlign w:val="center"/>
          </w:tcPr>
          <w:p>
            <w:pPr>
              <w:adjustRightInd w:val="0"/>
              <w:snapToGrid w:val="0"/>
              <w:jc w:val="center"/>
              <w:rPr>
                <w:rFonts w:ascii="Times New Roman" w:hAnsi="Times New Roman" w:eastAsia="仿宋"/>
                <w:color w:val="000000" w:themeColor="text1"/>
                <w:sz w:val="24"/>
                <w:szCs w:val="20"/>
                <w14:textFill>
                  <w14:solidFill>
                    <w14:schemeClr w14:val="tx1"/>
                  </w14:solidFill>
                </w14:textFill>
              </w:rPr>
            </w:pPr>
            <w:r>
              <w:rPr>
                <w:rFonts w:hint="eastAsia" w:ascii="Times New Roman" w:hAnsi="Times New Roman" w:eastAsia="仿宋"/>
                <w:color w:val="000000" w:themeColor="text1"/>
                <w:sz w:val="24"/>
                <w:szCs w:val="20"/>
                <w14:textFill>
                  <w14:solidFill>
                    <w14:schemeClr w14:val="tx1"/>
                  </w14:solidFill>
                </w14:textFill>
              </w:rPr>
              <w:t>28</w:t>
            </w:r>
          </w:p>
        </w:tc>
        <w:tc>
          <w:tcPr>
            <w:tcW w:w="1552" w:type="pct"/>
            <w:vAlign w:val="center"/>
          </w:tcPr>
          <w:p>
            <w:pPr>
              <w:adjustRightInd w:val="0"/>
              <w:snapToGrid w:val="0"/>
              <w:jc w:val="center"/>
              <w:rPr>
                <w:rFonts w:ascii="Times New Roman" w:hAnsi="Times New Roman" w:eastAsia="仿宋"/>
                <w:color w:val="000000" w:themeColor="text1"/>
                <w:sz w:val="24"/>
                <w:szCs w:val="20"/>
                <w14:textFill>
                  <w14:solidFill>
                    <w14:schemeClr w14:val="tx1"/>
                  </w14:solidFill>
                </w14:textFill>
              </w:rPr>
            </w:pPr>
            <w:r>
              <w:rPr>
                <w:rFonts w:ascii="Times New Roman" w:hAnsi="Times New Roman" w:eastAsia="仿宋"/>
                <w:color w:val="000000" w:themeColor="text1"/>
                <w:sz w:val="24"/>
                <w:szCs w:val="20"/>
                <w14:textFill>
                  <w14:solidFill>
                    <w14:schemeClr w14:val="tx1"/>
                  </w14:solidFill>
                </w14:textFill>
              </w:rPr>
              <w:t>干混砂浆≥</w:t>
            </w:r>
            <w:r>
              <w:rPr>
                <w:rFonts w:hint="eastAsia" w:ascii="Times New Roman" w:hAnsi="Times New Roman" w:eastAsia="仿宋"/>
                <w:color w:val="000000" w:themeColor="text1"/>
                <w:sz w:val="24"/>
                <w:szCs w:val="20"/>
                <w14:textFill>
                  <w14:solidFill>
                    <w14:schemeClr w14:val="tx1"/>
                  </w14:solidFill>
                </w14:textFill>
              </w:rPr>
              <w:t>50</w:t>
            </w:r>
          </w:p>
          <w:p>
            <w:pPr>
              <w:adjustRightInd w:val="0"/>
              <w:snapToGrid w:val="0"/>
              <w:jc w:val="center"/>
              <w:rPr>
                <w:rFonts w:ascii="Times New Roman" w:hAnsi="Times New Roman" w:eastAsia="仿宋"/>
                <w:color w:val="000000" w:themeColor="text1"/>
                <w:sz w:val="24"/>
                <w:szCs w:val="20"/>
                <w14:textFill>
                  <w14:solidFill>
                    <w14:schemeClr w14:val="tx1"/>
                  </w14:solidFill>
                </w14:textFill>
              </w:rPr>
            </w:pPr>
            <w:r>
              <w:rPr>
                <w:rFonts w:ascii="Times New Roman" w:hAnsi="Times New Roman" w:eastAsia="仿宋"/>
                <w:color w:val="000000" w:themeColor="text1"/>
                <w:sz w:val="24"/>
                <w:szCs w:val="20"/>
                <w14:textFill>
                  <w14:solidFill>
                    <w14:schemeClr w14:val="tx1"/>
                  </w14:solidFill>
                </w14:textFill>
              </w:rPr>
              <w:t>湿拌砂浆≥</w:t>
            </w:r>
            <w:r>
              <w:rPr>
                <w:rFonts w:hint="eastAsia" w:ascii="Times New Roman" w:hAnsi="Times New Roman" w:eastAsia="仿宋"/>
                <w:color w:val="000000" w:themeColor="text1"/>
                <w:sz w:val="24"/>
                <w:szCs w:val="20"/>
                <w14:textFill>
                  <w14:solidFill>
                    <w14:schemeClr w14:val="tx1"/>
                  </w14:solidFill>
                </w14:textFill>
              </w:rPr>
              <w:t>30</w:t>
            </w:r>
          </w:p>
        </w:tc>
        <w:tc>
          <w:tcPr>
            <w:tcW w:w="622" w:type="pct"/>
            <w:vAlign w:val="center"/>
          </w:tcPr>
          <w:p>
            <w:pPr>
              <w:adjustRightInd w:val="0"/>
              <w:snapToGrid w:val="0"/>
              <w:jc w:val="center"/>
              <w:rPr>
                <w:rFonts w:ascii="Times New Roman" w:hAnsi="Times New Roman" w:eastAsia="仿宋"/>
                <w:color w:val="000000" w:themeColor="text1"/>
                <w:sz w:val="24"/>
                <w:szCs w:val="20"/>
                <w14:textFill>
                  <w14:solidFill>
                    <w14:schemeClr w14:val="tx1"/>
                  </w14:solidFill>
                </w14:textFill>
              </w:rPr>
            </w:pPr>
            <w:r>
              <w:rPr>
                <w:rFonts w:ascii="Times New Roman" w:hAnsi="Times New Roman" w:eastAsia="仿宋"/>
                <w:color w:val="000000" w:themeColor="text1"/>
                <w:sz w:val="24"/>
                <w:szCs w:val="20"/>
                <w14:textFill>
                  <w14:solidFill>
                    <w14:schemeClr w14:val="tx1"/>
                  </w14:solidFill>
                </w14:textFill>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5"/>
            <w:vAlign w:val="center"/>
          </w:tcPr>
          <w:p>
            <w:pPr>
              <w:adjustRightInd w:val="0"/>
              <w:snapToGrid w:val="0"/>
              <w:rPr>
                <w:rFonts w:ascii="Times New Roman" w:hAnsi="Times New Roman" w:eastAsia="仿宋"/>
                <w:b/>
                <w:color w:val="000000" w:themeColor="text1"/>
                <w:sz w:val="24"/>
                <w:szCs w:val="20"/>
                <w14:textFill>
                  <w14:solidFill>
                    <w14:schemeClr w14:val="tx1"/>
                  </w14:solidFill>
                </w14:textFill>
              </w:rPr>
            </w:pPr>
            <w:r>
              <w:rPr>
                <w:rFonts w:ascii="Times New Roman" w:hAnsi="Times New Roman" w:eastAsia="仿宋"/>
                <w:b/>
                <w:color w:val="000000" w:themeColor="text1"/>
                <w:sz w:val="24"/>
                <w:szCs w:val="20"/>
                <w14:textFill>
                  <w14:solidFill>
                    <w14:schemeClr w14:val="tx1"/>
                  </w14:solidFill>
                </w14:textFill>
              </w:rPr>
              <w:t>二、绿色发展目标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0" w:type="pct"/>
            <w:vMerge w:val="restart"/>
            <w:vAlign w:val="center"/>
          </w:tcPr>
          <w:p>
            <w:pPr>
              <w:adjustRightInd w:val="0"/>
              <w:snapToGrid w:val="0"/>
              <w:jc w:val="left"/>
              <w:rPr>
                <w:rFonts w:ascii="Times New Roman" w:hAnsi="Times New Roman" w:eastAsia="仿宋"/>
                <w:b/>
                <w:color w:val="000000" w:themeColor="text1"/>
                <w:sz w:val="24"/>
                <w:szCs w:val="20"/>
                <w14:textFill>
                  <w14:solidFill>
                    <w14:schemeClr w14:val="tx1"/>
                  </w14:solidFill>
                </w14:textFill>
              </w:rPr>
            </w:pPr>
            <w:r>
              <w:rPr>
                <w:rFonts w:ascii="Times New Roman" w:hAnsi="Times New Roman" w:eastAsia="仿宋"/>
                <w:color w:val="000000" w:themeColor="text1"/>
                <w:sz w:val="24"/>
                <w:szCs w:val="20"/>
                <w14:textFill>
                  <w14:solidFill>
                    <w14:schemeClr w14:val="tx1"/>
                  </w14:solidFill>
                </w14:textFill>
              </w:rPr>
              <w:t>预拌混凝土</w:t>
            </w:r>
          </w:p>
        </w:tc>
        <w:tc>
          <w:tcPr>
            <w:tcW w:w="1171" w:type="pct"/>
            <w:vAlign w:val="center"/>
          </w:tcPr>
          <w:p>
            <w:pPr>
              <w:adjustRightInd w:val="0"/>
              <w:snapToGrid w:val="0"/>
              <w:jc w:val="left"/>
              <w:rPr>
                <w:rFonts w:ascii="Times New Roman" w:hAnsi="Times New Roman" w:eastAsia="仿宋"/>
                <w:color w:val="000000" w:themeColor="text1"/>
                <w:sz w:val="24"/>
                <w:szCs w:val="20"/>
                <w14:textFill>
                  <w14:solidFill>
                    <w14:schemeClr w14:val="tx1"/>
                  </w14:solidFill>
                </w14:textFill>
              </w:rPr>
            </w:pPr>
            <w:r>
              <w:rPr>
                <w:rFonts w:ascii="Times New Roman" w:hAnsi="Times New Roman" w:eastAsia="仿宋"/>
                <w:color w:val="FF0000"/>
                <w:sz w:val="24"/>
                <w:szCs w:val="20"/>
              </w:rPr>
              <w:t>绿色</w:t>
            </w:r>
            <w:r>
              <w:rPr>
                <w:rFonts w:hint="eastAsia" w:ascii="Times New Roman" w:hAnsi="Times New Roman" w:eastAsia="仿宋"/>
                <w:color w:val="FF0000"/>
                <w:sz w:val="24"/>
                <w:szCs w:val="20"/>
              </w:rPr>
              <w:t>一</w:t>
            </w:r>
            <w:r>
              <w:rPr>
                <w:rFonts w:ascii="Times New Roman" w:hAnsi="Times New Roman" w:eastAsia="仿宋"/>
                <w:color w:val="FF0000"/>
                <w:sz w:val="24"/>
                <w:szCs w:val="20"/>
              </w:rPr>
              <w:t>星级及以上水平%</w:t>
            </w:r>
          </w:p>
        </w:tc>
        <w:tc>
          <w:tcPr>
            <w:tcW w:w="793" w:type="pct"/>
            <w:vMerge w:val="restart"/>
            <w:vAlign w:val="center"/>
          </w:tcPr>
          <w:p>
            <w:pPr>
              <w:adjustRightInd w:val="0"/>
              <w:snapToGrid w:val="0"/>
              <w:jc w:val="center"/>
              <w:rPr>
                <w:rFonts w:ascii="Times New Roman" w:hAnsi="Times New Roman" w:eastAsia="仿宋"/>
                <w:b/>
                <w:color w:val="000000" w:themeColor="text1"/>
                <w:sz w:val="24"/>
                <w:szCs w:val="20"/>
                <w14:textFill>
                  <w14:solidFill>
                    <w14:schemeClr w14:val="tx1"/>
                  </w14:solidFill>
                </w14:textFill>
              </w:rPr>
            </w:pPr>
            <w:r>
              <w:rPr>
                <w:rFonts w:ascii="Times New Roman" w:hAnsi="Times New Roman" w:eastAsia="仿宋"/>
                <w:b/>
                <w:color w:val="000000" w:themeColor="text1"/>
                <w:sz w:val="24"/>
                <w:szCs w:val="20"/>
                <w14:textFill>
                  <w14:solidFill>
                    <w14:schemeClr w14:val="tx1"/>
                  </w14:solidFill>
                </w14:textFill>
              </w:rPr>
              <w:t>—</w:t>
            </w:r>
          </w:p>
        </w:tc>
        <w:tc>
          <w:tcPr>
            <w:tcW w:w="1552" w:type="pct"/>
            <w:vAlign w:val="center"/>
          </w:tcPr>
          <w:p>
            <w:pPr>
              <w:adjustRightInd w:val="0"/>
              <w:snapToGrid w:val="0"/>
              <w:jc w:val="center"/>
              <w:rPr>
                <w:rFonts w:ascii="Times New Roman" w:hAnsi="Times New Roman" w:eastAsia="仿宋"/>
                <w:color w:val="000000" w:themeColor="text1"/>
                <w:sz w:val="24"/>
                <w:szCs w:val="20"/>
                <w14:textFill>
                  <w14:solidFill>
                    <w14:schemeClr w14:val="tx1"/>
                  </w14:solidFill>
                </w14:textFill>
              </w:rPr>
            </w:pPr>
            <w:r>
              <w:rPr>
                <w:rFonts w:ascii="Times New Roman" w:hAnsi="Times New Roman" w:eastAsia="仿宋"/>
                <w:color w:val="000000" w:themeColor="text1"/>
                <w:sz w:val="24"/>
                <w:szCs w:val="20"/>
                <w14:textFill>
                  <w14:solidFill>
                    <w14:schemeClr w14:val="tx1"/>
                  </w14:solidFill>
                </w14:textFill>
              </w:rPr>
              <w:t>100</w:t>
            </w:r>
          </w:p>
        </w:tc>
        <w:tc>
          <w:tcPr>
            <w:tcW w:w="622" w:type="pct"/>
            <w:vAlign w:val="center"/>
          </w:tcPr>
          <w:p>
            <w:pPr>
              <w:adjustRightInd w:val="0"/>
              <w:snapToGrid w:val="0"/>
              <w:jc w:val="center"/>
              <w:rPr>
                <w:rFonts w:ascii="Times New Roman" w:hAnsi="Times New Roman" w:eastAsia="仿宋"/>
                <w:color w:val="000000" w:themeColor="text1"/>
                <w:sz w:val="24"/>
                <w:szCs w:val="20"/>
                <w14:textFill>
                  <w14:solidFill>
                    <w14:schemeClr w14:val="tx1"/>
                  </w14:solidFill>
                </w14:textFill>
              </w:rPr>
            </w:pPr>
            <w:r>
              <w:rPr>
                <w:rFonts w:hint="eastAsia" w:ascii="Times New Roman" w:hAnsi="Times New Roman" w:eastAsia="仿宋"/>
                <w:color w:val="000000" w:themeColor="text1"/>
                <w:sz w:val="24"/>
                <w:szCs w:val="20"/>
                <w14:textFill>
                  <w14:solidFill>
                    <w14:schemeClr w14:val="tx1"/>
                  </w14:solidFill>
                </w14:textFill>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0" w:type="pct"/>
            <w:vMerge w:val="continue"/>
            <w:vAlign w:val="center"/>
          </w:tcPr>
          <w:p>
            <w:pPr>
              <w:adjustRightInd w:val="0"/>
              <w:snapToGrid w:val="0"/>
              <w:jc w:val="left"/>
              <w:rPr>
                <w:rFonts w:ascii="Times New Roman" w:hAnsi="Times New Roman" w:eastAsia="仿宋"/>
                <w:color w:val="000000" w:themeColor="text1"/>
                <w:sz w:val="24"/>
                <w:szCs w:val="20"/>
                <w14:textFill>
                  <w14:solidFill>
                    <w14:schemeClr w14:val="tx1"/>
                  </w14:solidFill>
                </w14:textFill>
              </w:rPr>
            </w:pPr>
          </w:p>
        </w:tc>
        <w:tc>
          <w:tcPr>
            <w:tcW w:w="1171" w:type="pct"/>
            <w:vAlign w:val="center"/>
          </w:tcPr>
          <w:p>
            <w:pPr>
              <w:adjustRightInd w:val="0"/>
              <w:snapToGrid w:val="0"/>
              <w:jc w:val="left"/>
              <w:rPr>
                <w:rFonts w:ascii="Times New Roman" w:hAnsi="Times New Roman" w:eastAsia="仿宋"/>
                <w:color w:val="000000" w:themeColor="text1"/>
                <w:sz w:val="24"/>
                <w:szCs w:val="20"/>
                <w14:textFill>
                  <w14:solidFill>
                    <w14:schemeClr w14:val="tx1"/>
                  </w14:solidFill>
                </w14:textFill>
              </w:rPr>
            </w:pPr>
            <w:r>
              <w:rPr>
                <w:rFonts w:hint="eastAsia" w:ascii="Times New Roman" w:hAnsi="Times New Roman" w:eastAsia="仿宋"/>
                <w:color w:val="FF0000"/>
                <w:sz w:val="24"/>
                <w:szCs w:val="20"/>
                <w:lang w:val="en-US" w:eastAsia="zh-CN"/>
              </w:rPr>
              <w:t>中心城区企业</w:t>
            </w:r>
            <w:bookmarkStart w:id="115" w:name="OLE_LINK1"/>
            <w:r>
              <w:rPr>
                <w:rFonts w:ascii="Times New Roman" w:hAnsi="Times New Roman" w:eastAsia="仿宋"/>
                <w:color w:val="FF0000"/>
                <w:sz w:val="24"/>
                <w:szCs w:val="20"/>
              </w:rPr>
              <w:t>绿色二星级及以上水平%</w:t>
            </w:r>
            <w:bookmarkEnd w:id="115"/>
          </w:p>
        </w:tc>
        <w:tc>
          <w:tcPr>
            <w:tcW w:w="793" w:type="pct"/>
            <w:vMerge w:val="continue"/>
            <w:vAlign w:val="center"/>
          </w:tcPr>
          <w:p>
            <w:pPr>
              <w:adjustRightInd w:val="0"/>
              <w:snapToGrid w:val="0"/>
              <w:jc w:val="left"/>
              <w:rPr>
                <w:rFonts w:ascii="Times New Roman" w:hAnsi="Times New Roman" w:eastAsia="仿宋"/>
                <w:color w:val="000000" w:themeColor="text1"/>
                <w:sz w:val="24"/>
                <w:szCs w:val="20"/>
                <w14:textFill>
                  <w14:solidFill>
                    <w14:schemeClr w14:val="tx1"/>
                  </w14:solidFill>
                </w14:textFill>
              </w:rPr>
            </w:pPr>
          </w:p>
        </w:tc>
        <w:tc>
          <w:tcPr>
            <w:tcW w:w="1552" w:type="pct"/>
            <w:vAlign w:val="center"/>
          </w:tcPr>
          <w:p>
            <w:pPr>
              <w:adjustRightInd w:val="0"/>
              <w:snapToGrid w:val="0"/>
              <w:jc w:val="center"/>
              <w:rPr>
                <w:rFonts w:ascii="Times New Roman" w:hAnsi="Times New Roman" w:eastAsia="仿宋"/>
                <w:color w:val="000000" w:themeColor="text1"/>
                <w:sz w:val="24"/>
                <w:szCs w:val="20"/>
                <w14:textFill>
                  <w14:solidFill>
                    <w14:schemeClr w14:val="tx1"/>
                  </w14:solidFill>
                </w14:textFill>
              </w:rPr>
            </w:pPr>
            <w:r>
              <w:rPr>
                <w:rFonts w:ascii="Times New Roman" w:hAnsi="Times New Roman" w:eastAsia="仿宋"/>
                <w:color w:val="000000" w:themeColor="text1"/>
                <w:sz w:val="24"/>
                <w:szCs w:val="20"/>
                <w14:textFill>
                  <w14:solidFill>
                    <w14:schemeClr w14:val="tx1"/>
                  </w14:solidFill>
                </w14:textFill>
              </w:rPr>
              <w:t>50</w:t>
            </w:r>
          </w:p>
        </w:tc>
        <w:tc>
          <w:tcPr>
            <w:tcW w:w="622" w:type="pct"/>
            <w:vAlign w:val="center"/>
          </w:tcPr>
          <w:p>
            <w:pPr>
              <w:adjustRightInd w:val="0"/>
              <w:snapToGrid w:val="0"/>
              <w:jc w:val="center"/>
              <w:rPr>
                <w:rFonts w:ascii="Times New Roman" w:hAnsi="Times New Roman" w:eastAsia="仿宋"/>
                <w:color w:val="000000" w:themeColor="text1"/>
                <w:sz w:val="24"/>
                <w:szCs w:val="20"/>
                <w14:textFill>
                  <w14:solidFill>
                    <w14:schemeClr w14:val="tx1"/>
                  </w14:solidFill>
                </w14:textFill>
              </w:rPr>
            </w:pPr>
            <w:r>
              <w:rPr>
                <w:rFonts w:hint="eastAsia" w:ascii="Times New Roman" w:hAnsi="Times New Roman" w:eastAsia="仿宋"/>
                <w:color w:val="FF0000"/>
                <w:sz w:val="24"/>
                <w:szCs w:val="20"/>
              </w:rPr>
              <w:t>预期</w:t>
            </w:r>
            <w:r>
              <w:rPr>
                <w:rFonts w:ascii="Times New Roman" w:hAnsi="Times New Roman" w:eastAsia="仿宋"/>
                <w:color w:val="FF0000"/>
                <w:sz w:val="24"/>
                <w:szCs w:val="20"/>
              </w:rPr>
              <w:t>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0" w:type="pct"/>
            <w:vMerge w:val="continue"/>
            <w:vAlign w:val="center"/>
          </w:tcPr>
          <w:p>
            <w:pPr>
              <w:adjustRightInd w:val="0"/>
              <w:snapToGrid w:val="0"/>
              <w:jc w:val="left"/>
              <w:rPr>
                <w:rFonts w:ascii="Times New Roman" w:hAnsi="Times New Roman" w:eastAsia="仿宋"/>
                <w:color w:val="000000" w:themeColor="text1"/>
                <w:sz w:val="24"/>
                <w:szCs w:val="20"/>
                <w14:textFill>
                  <w14:solidFill>
                    <w14:schemeClr w14:val="tx1"/>
                  </w14:solidFill>
                </w14:textFill>
              </w:rPr>
            </w:pPr>
          </w:p>
        </w:tc>
        <w:tc>
          <w:tcPr>
            <w:tcW w:w="1171" w:type="pct"/>
            <w:vAlign w:val="center"/>
          </w:tcPr>
          <w:p>
            <w:pPr>
              <w:adjustRightInd w:val="0"/>
              <w:snapToGrid w:val="0"/>
              <w:jc w:val="left"/>
              <w:rPr>
                <w:rFonts w:ascii="Times New Roman" w:hAnsi="Times New Roman" w:eastAsia="仿宋"/>
                <w:color w:val="000000" w:themeColor="text1"/>
                <w:sz w:val="24"/>
                <w:szCs w:val="20"/>
                <w14:textFill>
                  <w14:solidFill>
                    <w14:schemeClr w14:val="tx1"/>
                  </w14:solidFill>
                </w14:textFill>
              </w:rPr>
            </w:pPr>
            <w:r>
              <w:rPr>
                <w:rFonts w:ascii="Times New Roman" w:hAnsi="Times New Roman" w:eastAsia="仿宋"/>
                <w:color w:val="000000" w:themeColor="text1"/>
                <w:sz w:val="24"/>
                <w:szCs w:val="20"/>
                <w14:textFill>
                  <w14:solidFill>
                    <w14:schemeClr w14:val="tx1"/>
                  </w14:solidFill>
                </w14:textFill>
              </w:rPr>
              <w:t>自治区示范企业（家）</w:t>
            </w:r>
          </w:p>
        </w:tc>
        <w:tc>
          <w:tcPr>
            <w:tcW w:w="793" w:type="pct"/>
            <w:vAlign w:val="center"/>
          </w:tcPr>
          <w:p>
            <w:pPr>
              <w:adjustRightInd w:val="0"/>
              <w:snapToGrid w:val="0"/>
              <w:jc w:val="center"/>
              <w:rPr>
                <w:rFonts w:ascii="Times New Roman" w:hAnsi="Times New Roman" w:eastAsia="仿宋"/>
                <w:color w:val="000000" w:themeColor="text1"/>
                <w:sz w:val="24"/>
                <w:szCs w:val="20"/>
                <w14:textFill>
                  <w14:solidFill>
                    <w14:schemeClr w14:val="tx1"/>
                  </w14:solidFill>
                </w14:textFill>
              </w:rPr>
            </w:pPr>
            <w:r>
              <w:rPr>
                <w:rFonts w:ascii="Times New Roman" w:hAnsi="Times New Roman" w:eastAsia="仿宋"/>
                <w:color w:val="000000" w:themeColor="text1"/>
                <w:sz w:val="24"/>
                <w:szCs w:val="20"/>
                <w14:textFill>
                  <w14:solidFill>
                    <w14:schemeClr w14:val="tx1"/>
                  </w14:solidFill>
                </w14:textFill>
              </w:rPr>
              <w:t>0</w:t>
            </w:r>
          </w:p>
        </w:tc>
        <w:tc>
          <w:tcPr>
            <w:tcW w:w="1552" w:type="pct"/>
            <w:vAlign w:val="center"/>
          </w:tcPr>
          <w:p>
            <w:pPr>
              <w:adjustRightInd w:val="0"/>
              <w:snapToGrid w:val="0"/>
              <w:jc w:val="center"/>
              <w:rPr>
                <w:rFonts w:ascii="Times New Roman" w:hAnsi="Times New Roman" w:eastAsia="仿宋"/>
                <w:color w:val="000000" w:themeColor="text1"/>
                <w:sz w:val="24"/>
                <w:szCs w:val="20"/>
                <w14:textFill>
                  <w14:solidFill>
                    <w14:schemeClr w14:val="tx1"/>
                  </w14:solidFill>
                </w14:textFill>
              </w:rPr>
            </w:pPr>
            <w:r>
              <w:rPr>
                <w:rFonts w:ascii="Times New Roman" w:hAnsi="Times New Roman" w:eastAsia="仿宋"/>
                <w:color w:val="000000" w:themeColor="text1"/>
                <w:sz w:val="24"/>
                <w:szCs w:val="20"/>
                <w14:textFill>
                  <w14:solidFill>
                    <w14:schemeClr w14:val="tx1"/>
                  </w14:solidFill>
                </w14:textFill>
              </w:rPr>
              <w:t>1</w:t>
            </w:r>
          </w:p>
        </w:tc>
        <w:tc>
          <w:tcPr>
            <w:tcW w:w="622" w:type="pct"/>
            <w:vAlign w:val="center"/>
          </w:tcPr>
          <w:p>
            <w:pPr>
              <w:adjustRightInd w:val="0"/>
              <w:snapToGrid w:val="0"/>
              <w:jc w:val="center"/>
              <w:rPr>
                <w:rFonts w:ascii="Times New Roman" w:hAnsi="Times New Roman" w:eastAsia="仿宋"/>
                <w:color w:val="000000" w:themeColor="text1"/>
                <w:sz w:val="24"/>
                <w:szCs w:val="20"/>
                <w14:textFill>
                  <w14:solidFill>
                    <w14:schemeClr w14:val="tx1"/>
                  </w14:solidFill>
                </w14:textFill>
              </w:rPr>
            </w:pPr>
            <w:r>
              <w:rPr>
                <w:rFonts w:ascii="Times New Roman" w:hAnsi="Times New Roman" w:eastAsia="仿宋"/>
                <w:color w:val="000000" w:themeColor="text1"/>
                <w:sz w:val="24"/>
                <w:szCs w:val="20"/>
                <w14:textFill>
                  <w14:solidFill>
                    <w14:schemeClr w14:val="tx1"/>
                  </w14:solidFill>
                </w14:textFill>
              </w:rPr>
              <w:t>预期性</w:t>
            </w:r>
          </w:p>
          <w:p>
            <w:pPr>
              <w:adjustRightInd w:val="0"/>
              <w:snapToGrid w:val="0"/>
              <w:jc w:val="center"/>
              <w:rPr>
                <w:rFonts w:ascii="Times New Roman" w:hAnsi="Times New Roman" w:eastAsia="仿宋"/>
                <w:color w:val="000000" w:themeColor="text1"/>
                <w:sz w:val="24"/>
                <w:szCs w:val="2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0" w:type="pct"/>
            <w:vMerge w:val="continue"/>
            <w:vAlign w:val="center"/>
          </w:tcPr>
          <w:p>
            <w:pPr>
              <w:adjustRightInd w:val="0"/>
              <w:snapToGrid w:val="0"/>
              <w:jc w:val="left"/>
              <w:rPr>
                <w:rFonts w:ascii="Times New Roman" w:hAnsi="Times New Roman" w:eastAsia="仿宋"/>
                <w:color w:val="000000" w:themeColor="text1"/>
                <w:sz w:val="24"/>
                <w:szCs w:val="20"/>
                <w14:textFill>
                  <w14:solidFill>
                    <w14:schemeClr w14:val="tx1"/>
                  </w14:solidFill>
                </w14:textFill>
              </w:rPr>
            </w:pPr>
          </w:p>
        </w:tc>
        <w:tc>
          <w:tcPr>
            <w:tcW w:w="1171" w:type="pct"/>
            <w:vAlign w:val="center"/>
          </w:tcPr>
          <w:p>
            <w:pPr>
              <w:adjustRightInd w:val="0"/>
              <w:snapToGrid w:val="0"/>
              <w:jc w:val="left"/>
              <w:rPr>
                <w:rFonts w:ascii="Times New Roman" w:hAnsi="Times New Roman" w:eastAsia="仿宋"/>
                <w:color w:val="000000" w:themeColor="text1"/>
                <w:sz w:val="24"/>
                <w:szCs w:val="20"/>
                <w14:textFill>
                  <w14:solidFill>
                    <w14:schemeClr w14:val="tx1"/>
                  </w14:solidFill>
                </w14:textFill>
              </w:rPr>
            </w:pPr>
            <w:r>
              <w:rPr>
                <w:rFonts w:ascii="Times New Roman" w:hAnsi="Times New Roman" w:eastAsia="仿宋"/>
                <w:color w:val="000000" w:themeColor="text1"/>
                <w:sz w:val="24"/>
                <w:szCs w:val="20"/>
                <w14:textFill>
                  <w14:solidFill>
                    <w14:schemeClr w14:val="tx1"/>
                  </w14:solidFill>
                </w14:textFill>
              </w:rPr>
              <w:t>单位产品能耗kgce/m³</w:t>
            </w:r>
          </w:p>
        </w:tc>
        <w:tc>
          <w:tcPr>
            <w:tcW w:w="793" w:type="pct"/>
            <w:vAlign w:val="center"/>
          </w:tcPr>
          <w:p>
            <w:pPr>
              <w:adjustRightInd w:val="0"/>
              <w:snapToGrid w:val="0"/>
              <w:jc w:val="center"/>
              <w:rPr>
                <w:rFonts w:ascii="Times New Roman" w:hAnsi="Times New Roman" w:eastAsia="仿宋"/>
                <w:color w:val="000000" w:themeColor="text1"/>
                <w:sz w:val="24"/>
                <w:szCs w:val="20"/>
                <w14:textFill>
                  <w14:solidFill>
                    <w14:schemeClr w14:val="tx1"/>
                  </w14:solidFill>
                </w14:textFill>
              </w:rPr>
            </w:pPr>
            <w:r>
              <w:rPr>
                <w:rFonts w:ascii="Times New Roman" w:hAnsi="Times New Roman" w:eastAsia="仿宋"/>
                <w:color w:val="000000" w:themeColor="text1"/>
                <w:sz w:val="24"/>
                <w:szCs w:val="20"/>
                <w14:textFill>
                  <w14:solidFill>
                    <w14:schemeClr w14:val="tx1"/>
                  </w14:solidFill>
                </w14:textFill>
              </w:rPr>
              <w:t>1.25</w:t>
            </w:r>
          </w:p>
        </w:tc>
        <w:tc>
          <w:tcPr>
            <w:tcW w:w="1552" w:type="pct"/>
            <w:vAlign w:val="center"/>
          </w:tcPr>
          <w:p>
            <w:pPr>
              <w:adjustRightInd w:val="0"/>
              <w:snapToGrid w:val="0"/>
              <w:jc w:val="center"/>
              <w:rPr>
                <w:rFonts w:ascii="Times New Roman" w:hAnsi="Times New Roman" w:eastAsia="仿宋"/>
                <w:color w:val="000000" w:themeColor="text1"/>
                <w:sz w:val="24"/>
                <w:szCs w:val="20"/>
                <w14:textFill>
                  <w14:solidFill>
                    <w14:schemeClr w14:val="tx1"/>
                  </w14:solidFill>
                </w14:textFill>
              </w:rPr>
            </w:pPr>
            <w:r>
              <w:rPr>
                <w:rFonts w:ascii="Times New Roman" w:hAnsi="Times New Roman" w:eastAsia="仿宋"/>
                <w:color w:val="000000" w:themeColor="text1"/>
                <w:sz w:val="24"/>
                <w:szCs w:val="20"/>
                <w14:textFill>
                  <w14:solidFill>
                    <w14:schemeClr w14:val="tx1"/>
                  </w14:solidFill>
                </w14:textFill>
              </w:rPr>
              <w:t>达到《预拌混凝土单位产品能源消耗限额》（GB36888-2018）二级能耗标准</w:t>
            </w:r>
          </w:p>
        </w:tc>
        <w:tc>
          <w:tcPr>
            <w:tcW w:w="622" w:type="pct"/>
            <w:vMerge w:val="restart"/>
            <w:vAlign w:val="center"/>
          </w:tcPr>
          <w:p>
            <w:pPr>
              <w:adjustRightInd w:val="0"/>
              <w:snapToGrid w:val="0"/>
              <w:jc w:val="center"/>
              <w:rPr>
                <w:rFonts w:ascii="Times New Roman" w:hAnsi="Times New Roman" w:eastAsia="仿宋"/>
                <w:color w:val="000000" w:themeColor="text1"/>
                <w:sz w:val="24"/>
                <w:szCs w:val="20"/>
                <w14:textFill>
                  <w14:solidFill>
                    <w14:schemeClr w14:val="tx1"/>
                  </w14:solidFill>
                </w14:textFill>
              </w:rPr>
            </w:pPr>
            <w:r>
              <w:rPr>
                <w:rFonts w:ascii="Times New Roman" w:hAnsi="Times New Roman" w:eastAsia="仿宋"/>
                <w:color w:val="000000" w:themeColor="text1"/>
                <w:sz w:val="24"/>
                <w:szCs w:val="20"/>
                <w14:textFill>
                  <w14:solidFill>
                    <w14:schemeClr w14:val="tx1"/>
                  </w14:solidFill>
                </w14:textFill>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0" w:type="pct"/>
            <w:vMerge w:val="continue"/>
            <w:vAlign w:val="center"/>
          </w:tcPr>
          <w:p>
            <w:pPr>
              <w:adjustRightInd w:val="0"/>
              <w:snapToGrid w:val="0"/>
              <w:jc w:val="left"/>
              <w:rPr>
                <w:rFonts w:ascii="Times New Roman" w:hAnsi="Times New Roman" w:eastAsia="仿宋"/>
                <w:color w:val="000000" w:themeColor="text1"/>
                <w:sz w:val="24"/>
                <w:szCs w:val="20"/>
                <w14:textFill>
                  <w14:solidFill>
                    <w14:schemeClr w14:val="tx1"/>
                  </w14:solidFill>
                </w14:textFill>
              </w:rPr>
            </w:pPr>
          </w:p>
        </w:tc>
        <w:tc>
          <w:tcPr>
            <w:tcW w:w="1171" w:type="pct"/>
            <w:vAlign w:val="center"/>
          </w:tcPr>
          <w:p>
            <w:pPr>
              <w:adjustRightInd w:val="0"/>
              <w:snapToGrid w:val="0"/>
              <w:jc w:val="left"/>
              <w:rPr>
                <w:rFonts w:ascii="Times New Roman" w:hAnsi="Times New Roman" w:eastAsia="仿宋"/>
                <w:color w:val="000000" w:themeColor="text1"/>
                <w:sz w:val="24"/>
                <w:szCs w:val="20"/>
                <w14:textFill>
                  <w14:solidFill>
                    <w14:schemeClr w14:val="tx1"/>
                  </w14:solidFill>
                </w14:textFill>
              </w:rPr>
            </w:pPr>
            <w:r>
              <w:rPr>
                <w:rFonts w:ascii="Times New Roman" w:hAnsi="Times New Roman" w:eastAsia="仿宋"/>
                <w:color w:val="000000" w:themeColor="text1"/>
                <w:sz w:val="24"/>
                <w:szCs w:val="20"/>
                <w14:textFill>
                  <w14:solidFill>
                    <w14:schemeClr w14:val="tx1"/>
                  </w14:solidFill>
                </w14:textFill>
              </w:rPr>
              <w:t>生产水耗m³/m³</w:t>
            </w:r>
          </w:p>
        </w:tc>
        <w:tc>
          <w:tcPr>
            <w:tcW w:w="793" w:type="pct"/>
            <w:vAlign w:val="center"/>
          </w:tcPr>
          <w:p>
            <w:pPr>
              <w:adjustRightInd w:val="0"/>
              <w:snapToGrid w:val="0"/>
              <w:jc w:val="center"/>
              <w:rPr>
                <w:rFonts w:ascii="Times New Roman" w:hAnsi="Times New Roman" w:eastAsia="仿宋"/>
                <w:color w:val="000000" w:themeColor="text1"/>
                <w:sz w:val="24"/>
                <w:szCs w:val="20"/>
                <w14:textFill>
                  <w14:solidFill>
                    <w14:schemeClr w14:val="tx1"/>
                  </w14:solidFill>
                </w14:textFill>
              </w:rPr>
            </w:pPr>
            <w:r>
              <w:rPr>
                <w:rFonts w:ascii="Times New Roman" w:hAnsi="Times New Roman" w:eastAsia="仿宋"/>
                <w:color w:val="000000" w:themeColor="text1"/>
                <w:sz w:val="24"/>
                <w:szCs w:val="20"/>
                <w14:textFill>
                  <w14:solidFill>
                    <w14:schemeClr w14:val="tx1"/>
                  </w14:solidFill>
                </w14:textFill>
              </w:rPr>
              <w:t>-</w:t>
            </w:r>
          </w:p>
        </w:tc>
        <w:tc>
          <w:tcPr>
            <w:tcW w:w="1552" w:type="pct"/>
            <w:vAlign w:val="center"/>
          </w:tcPr>
          <w:p>
            <w:pPr>
              <w:adjustRightInd w:val="0"/>
              <w:snapToGrid w:val="0"/>
              <w:jc w:val="center"/>
              <w:rPr>
                <w:rFonts w:ascii="Times New Roman" w:hAnsi="Times New Roman" w:eastAsia="仿宋"/>
                <w:color w:val="000000" w:themeColor="text1"/>
                <w:sz w:val="24"/>
                <w:szCs w:val="20"/>
                <w14:textFill>
                  <w14:solidFill>
                    <w14:schemeClr w14:val="tx1"/>
                  </w14:solidFill>
                </w14:textFill>
              </w:rPr>
            </w:pPr>
            <w:r>
              <w:rPr>
                <w:rFonts w:ascii="Times New Roman" w:hAnsi="Times New Roman" w:eastAsia="仿宋"/>
                <w:color w:val="000000" w:themeColor="text1"/>
                <w:sz w:val="24"/>
                <w:szCs w:val="20"/>
                <w14:textFill>
                  <w14:solidFill>
                    <w14:schemeClr w14:val="tx1"/>
                  </w14:solidFill>
                </w14:textFill>
              </w:rPr>
              <w:t>优于《</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https://www.miit.gov.cn/api-gateway/jpaas-web-server/front/document/file-download?fileUrl=/cms_files/filemanager/1226211233/attach/202012/b73f28f6677d44e0be019189be720eeb.pdf&amp;fileName=%E5%B7%A5%E4%B8%9A%E7%94%A8%E6%B0%B4%E5%AE%9A%E9%A2%9D%EF%BC%9A%E9%A2%84%E6%8B%8C%E6%B7%B7%E5%87%9D%E5%9C%9F%E5%8F%8A%E6%B0%B4%E6%B3%A5%E5%88%B6%E5%93%81.pdf" </w:instrText>
            </w:r>
            <w:r>
              <w:rPr>
                <w:color w:val="000000" w:themeColor="text1"/>
                <w14:textFill>
                  <w14:solidFill>
                    <w14:schemeClr w14:val="tx1"/>
                  </w14:solidFill>
                </w14:textFill>
              </w:rPr>
              <w:fldChar w:fldCharType="separate"/>
            </w:r>
            <w:r>
              <w:rPr>
                <w:rFonts w:ascii="Times New Roman" w:hAnsi="Times New Roman" w:eastAsia="仿宋"/>
                <w:color w:val="000000" w:themeColor="text1"/>
                <w:sz w:val="24"/>
                <w:szCs w:val="20"/>
                <w14:textFill>
                  <w14:solidFill>
                    <w14:schemeClr w14:val="tx1"/>
                  </w14:solidFill>
                </w14:textFill>
              </w:rPr>
              <w:t>工业用水定额：预拌混凝土及水泥制品</w:t>
            </w:r>
            <w:r>
              <w:rPr>
                <w:rFonts w:ascii="Times New Roman" w:hAnsi="Times New Roman" w:eastAsia="仿宋"/>
                <w:color w:val="000000" w:themeColor="text1"/>
                <w:sz w:val="24"/>
                <w:szCs w:val="20"/>
                <w14:textFill>
                  <w14:solidFill>
                    <w14:schemeClr w14:val="tx1"/>
                  </w14:solidFill>
                </w14:textFill>
              </w:rPr>
              <w:fldChar w:fldCharType="end"/>
            </w:r>
            <w:r>
              <w:rPr>
                <w:rFonts w:ascii="Times New Roman" w:hAnsi="Times New Roman" w:eastAsia="仿宋"/>
                <w:color w:val="000000" w:themeColor="text1"/>
                <w:sz w:val="24"/>
                <w:szCs w:val="20"/>
                <w14:textFill>
                  <w14:solidFill>
                    <w14:schemeClr w14:val="tx1"/>
                  </w14:solidFill>
                </w14:textFill>
              </w:rPr>
              <w:t>》（水节约〔2020〕290号）通用值水平</w:t>
            </w:r>
          </w:p>
        </w:tc>
        <w:tc>
          <w:tcPr>
            <w:tcW w:w="622" w:type="pct"/>
            <w:vMerge w:val="continue"/>
            <w:vAlign w:val="center"/>
          </w:tcPr>
          <w:p>
            <w:pPr>
              <w:adjustRightInd w:val="0"/>
              <w:snapToGrid w:val="0"/>
              <w:jc w:val="center"/>
              <w:rPr>
                <w:rFonts w:ascii="Times New Roman" w:hAnsi="Times New Roman" w:eastAsia="仿宋"/>
                <w:color w:val="000000" w:themeColor="text1"/>
                <w:sz w:val="24"/>
                <w:szCs w:val="2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0" w:type="pct"/>
            <w:vMerge w:val="restart"/>
            <w:vAlign w:val="center"/>
          </w:tcPr>
          <w:p>
            <w:pPr>
              <w:adjustRightInd w:val="0"/>
              <w:snapToGrid w:val="0"/>
              <w:rPr>
                <w:rFonts w:ascii="Times New Roman" w:hAnsi="Times New Roman" w:eastAsia="仿宋"/>
                <w:color w:val="000000" w:themeColor="text1"/>
                <w:sz w:val="24"/>
                <w:szCs w:val="20"/>
                <w14:textFill>
                  <w14:solidFill>
                    <w14:schemeClr w14:val="tx1"/>
                  </w14:solidFill>
                </w14:textFill>
              </w:rPr>
            </w:pPr>
            <w:r>
              <w:rPr>
                <w:rFonts w:ascii="Times New Roman" w:hAnsi="Times New Roman" w:eastAsia="仿宋"/>
                <w:color w:val="000000" w:themeColor="text1"/>
                <w:sz w:val="24"/>
                <w:szCs w:val="20"/>
                <w14:textFill>
                  <w14:solidFill>
                    <w14:schemeClr w14:val="tx1"/>
                  </w14:solidFill>
                </w14:textFill>
              </w:rPr>
              <w:t>预拌砂浆</w:t>
            </w:r>
          </w:p>
        </w:tc>
        <w:tc>
          <w:tcPr>
            <w:tcW w:w="1171" w:type="pct"/>
            <w:vAlign w:val="center"/>
          </w:tcPr>
          <w:p>
            <w:pPr>
              <w:adjustRightInd w:val="0"/>
              <w:snapToGrid w:val="0"/>
              <w:jc w:val="left"/>
              <w:rPr>
                <w:rFonts w:ascii="Times New Roman" w:hAnsi="Times New Roman" w:eastAsia="仿宋"/>
                <w:color w:val="000000" w:themeColor="text1"/>
                <w:sz w:val="24"/>
                <w:szCs w:val="20"/>
                <w14:textFill>
                  <w14:solidFill>
                    <w14:schemeClr w14:val="tx1"/>
                  </w14:solidFill>
                </w14:textFill>
              </w:rPr>
            </w:pPr>
            <w:r>
              <w:rPr>
                <w:rFonts w:ascii="Times New Roman" w:hAnsi="Times New Roman" w:eastAsia="仿宋"/>
                <w:color w:val="000000" w:themeColor="text1"/>
                <w:sz w:val="24"/>
                <w:szCs w:val="20"/>
                <w14:textFill>
                  <w14:solidFill>
                    <w14:schemeClr w14:val="tx1"/>
                  </w14:solidFill>
                </w14:textFill>
              </w:rPr>
              <w:t>清洁化生产改造完成率%</w:t>
            </w:r>
          </w:p>
        </w:tc>
        <w:tc>
          <w:tcPr>
            <w:tcW w:w="793" w:type="pct"/>
            <w:vAlign w:val="center"/>
          </w:tcPr>
          <w:p>
            <w:pPr>
              <w:adjustRightInd w:val="0"/>
              <w:snapToGrid w:val="0"/>
              <w:jc w:val="center"/>
              <w:rPr>
                <w:rFonts w:ascii="Times New Roman" w:hAnsi="Times New Roman" w:eastAsia="仿宋"/>
                <w:color w:val="000000" w:themeColor="text1"/>
                <w:sz w:val="24"/>
                <w:szCs w:val="20"/>
                <w14:textFill>
                  <w14:solidFill>
                    <w14:schemeClr w14:val="tx1"/>
                  </w14:solidFill>
                </w14:textFill>
              </w:rPr>
            </w:pPr>
            <w:r>
              <w:rPr>
                <w:rFonts w:ascii="Times New Roman" w:hAnsi="Times New Roman" w:eastAsia="仿宋"/>
                <w:color w:val="000000" w:themeColor="text1"/>
                <w:sz w:val="24"/>
                <w:szCs w:val="20"/>
                <w14:textFill>
                  <w14:solidFill>
                    <w14:schemeClr w14:val="tx1"/>
                  </w14:solidFill>
                </w14:textFill>
              </w:rPr>
              <w:t>-</w:t>
            </w:r>
          </w:p>
        </w:tc>
        <w:tc>
          <w:tcPr>
            <w:tcW w:w="1552" w:type="pct"/>
            <w:vAlign w:val="center"/>
          </w:tcPr>
          <w:p>
            <w:pPr>
              <w:adjustRightInd w:val="0"/>
              <w:snapToGrid w:val="0"/>
              <w:jc w:val="center"/>
              <w:rPr>
                <w:rFonts w:ascii="Times New Roman" w:hAnsi="Times New Roman" w:eastAsia="仿宋"/>
                <w:color w:val="000000" w:themeColor="text1"/>
                <w:sz w:val="24"/>
                <w:szCs w:val="20"/>
                <w14:textFill>
                  <w14:solidFill>
                    <w14:schemeClr w14:val="tx1"/>
                  </w14:solidFill>
                </w14:textFill>
              </w:rPr>
            </w:pPr>
            <w:r>
              <w:rPr>
                <w:rFonts w:ascii="Times New Roman" w:hAnsi="Times New Roman" w:eastAsia="仿宋"/>
                <w:color w:val="000000" w:themeColor="text1"/>
                <w:sz w:val="24"/>
                <w:szCs w:val="20"/>
                <w14:textFill>
                  <w14:solidFill>
                    <w14:schemeClr w14:val="tx1"/>
                  </w14:solidFill>
                </w14:textFill>
              </w:rPr>
              <w:t>100</w:t>
            </w:r>
          </w:p>
        </w:tc>
        <w:tc>
          <w:tcPr>
            <w:tcW w:w="622" w:type="pct"/>
            <w:vMerge w:val="restart"/>
            <w:vAlign w:val="center"/>
          </w:tcPr>
          <w:p>
            <w:pPr>
              <w:adjustRightInd w:val="0"/>
              <w:snapToGrid w:val="0"/>
              <w:jc w:val="center"/>
              <w:rPr>
                <w:rFonts w:ascii="Times New Roman" w:hAnsi="Times New Roman" w:eastAsia="仿宋"/>
                <w:color w:val="000000" w:themeColor="text1"/>
                <w:sz w:val="24"/>
                <w:szCs w:val="20"/>
                <w14:textFill>
                  <w14:solidFill>
                    <w14:schemeClr w14:val="tx1"/>
                  </w14:solidFill>
                </w14:textFill>
              </w:rPr>
            </w:pPr>
            <w:r>
              <w:rPr>
                <w:rFonts w:hint="eastAsia" w:ascii="Times New Roman" w:hAnsi="Times New Roman" w:eastAsia="仿宋"/>
                <w:color w:val="000000" w:themeColor="text1"/>
                <w:sz w:val="24"/>
                <w:szCs w:val="20"/>
                <w14:textFill>
                  <w14:solidFill>
                    <w14:schemeClr w14:val="tx1"/>
                  </w14:solidFill>
                </w14:textFill>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0" w:type="pct"/>
            <w:vMerge w:val="continue"/>
            <w:vAlign w:val="center"/>
          </w:tcPr>
          <w:p>
            <w:pPr>
              <w:adjustRightInd w:val="0"/>
              <w:snapToGrid w:val="0"/>
              <w:rPr>
                <w:rFonts w:ascii="Times New Roman" w:hAnsi="Times New Roman" w:eastAsia="仿宋"/>
                <w:color w:val="000000" w:themeColor="text1"/>
                <w:sz w:val="24"/>
                <w:szCs w:val="20"/>
                <w14:textFill>
                  <w14:solidFill>
                    <w14:schemeClr w14:val="tx1"/>
                  </w14:solidFill>
                </w14:textFill>
              </w:rPr>
            </w:pPr>
          </w:p>
        </w:tc>
        <w:tc>
          <w:tcPr>
            <w:tcW w:w="1171" w:type="pct"/>
            <w:vAlign w:val="center"/>
          </w:tcPr>
          <w:p>
            <w:pPr>
              <w:adjustRightInd w:val="0"/>
              <w:snapToGrid w:val="0"/>
              <w:jc w:val="left"/>
              <w:rPr>
                <w:rFonts w:ascii="Times New Roman" w:hAnsi="Times New Roman" w:eastAsia="仿宋"/>
                <w:color w:val="000000" w:themeColor="text1"/>
                <w:sz w:val="24"/>
                <w:szCs w:val="20"/>
                <w14:textFill>
                  <w14:solidFill>
                    <w14:schemeClr w14:val="tx1"/>
                  </w14:solidFill>
                </w14:textFill>
              </w:rPr>
            </w:pPr>
            <w:r>
              <w:rPr>
                <w:rFonts w:ascii="Times New Roman" w:hAnsi="Times New Roman" w:eastAsia="仿宋"/>
                <w:color w:val="000000" w:themeColor="text1"/>
                <w:sz w:val="24"/>
                <w:szCs w:val="20"/>
                <w14:textFill>
                  <w14:solidFill>
                    <w14:schemeClr w14:val="tx1"/>
                  </w14:solidFill>
                </w14:textFill>
              </w:rPr>
              <w:t>自治区示范企业</w:t>
            </w:r>
          </w:p>
          <w:p>
            <w:pPr>
              <w:adjustRightInd w:val="0"/>
              <w:snapToGrid w:val="0"/>
              <w:jc w:val="left"/>
              <w:rPr>
                <w:rFonts w:ascii="Times New Roman" w:hAnsi="Times New Roman" w:eastAsia="仿宋"/>
                <w:color w:val="000000" w:themeColor="text1"/>
                <w:sz w:val="24"/>
                <w:szCs w:val="20"/>
                <w14:textFill>
                  <w14:solidFill>
                    <w14:schemeClr w14:val="tx1"/>
                  </w14:solidFill>
                </w14:textFill>
              </w:rPr>
            </w:pPr>
            <w:r>
              <w:rPr>
                <w:rFonts w:ascii="Times New Roman" w:hAnsi="Times New Roman" w:eastAsia="仿宋"/>
                <w:color w:val="000000" w:themeColor="text1"/>
                <w:sz w:val="24"/>
                <w:szCs w:val="20"/>
                <w14:textFill>
                  <w14:solidFill>
                    <w14:schemeClr w14:val="tx1"/>
                  </w14:solidFill>
                </w14:textFill>
              </w:rPr>
              <w:t>（家）</w:t>
            </w:r>
          </w:p>
        </w:tc>
        <w:tc>
          <w:tcPr>
            <w:tcW w:w="793" w:type="pct"/>
            <w:vAlign w:val="center"/>
          </w:tcPr>
          <w:p>
            <w:pPr>
              <w:adjustRightInd w:val="0"/>
              <w:snapToGrid w:val="0"/>
              <w:jc w:val="center"/>
              <w:rPr>
                <w:rFonts w:ascii="Times New Roman" w:hAnsi="Times New Roman" w:eastAsia="仿宋"/>
                <w:color w:val="000000" w:themeColor="text1"/>
                <w:sz w:val="24"/>
                <w:szCs w:val="20"/>
                <w14:textFill>
                  <w14:solidFill>
                    <w14:schemeClr w14:val="tx1"/>
                  </w14:solidFill>
                </w14:textFill>
              </w:rPr>
            </w:pPr>
            <w:r>
              <w:rPr>
                <w:rFonts w:ascii="Times New Roman" w:hAnsi="Times New Roman" w:eastAsia="仿宋"/>
                <w:color w:val="000000" w:themeColor="text1"/>
                <w:sz w:val="24"/>
                <w:szCs w:val="20"/>
                <w14:textFill>
                  <w14:solidFill>
                    <w14:schemeClr w14:val="tx1"/>
                  </w14:solidFill>
                </w14:textFill>
              </w:rPr>
              <w:t>0</w:t>
            </w:r>
          </w:p>
        </w:tc>
        <w:tc>
          <w:tcPr>
            <w:tcW w:w="1552" w:type="pct"/>
            <w:vAlign w:val="center"/>
          </w:tcPr>
          <w:p>
            <w:pPr>
              <w:adjustRightInd w:val="0"/>
              <w:snapToGrid w:val="0"/>
              <w:jc w:val="center"/>
              <w:rPr>
                <w:rFonts w:ascii="Times New Roman" w:hAnsi="Times New Roman" w:eastAsia="仿宋"/>
                <w:color w:val="000000" w:themeColor="text1"/>
                <w:sz w:val="24"/>
                <w:szCs w:val="20"/>
                <w14:textFill>
                  <w14:solidFill>
                    <w14:schemeClr w14:val="tx1"/>
                  </w14:solidFill>
                </w14:textFill>
              </w:rPr>
            </w:pPr>
            <w:r>
              <w:rPr>
                <w:rFonts w:ascii="Times New Roman" w:hAnsi="Times New Roman" w:eastAsia="仿宋"/>
                <w:color w:val="000000" w:themeColor="text1"/>
                <w:sz w:val="24"/>
                <w:szCs w:val="20"/>
                <w14:textFill>
                  <w14:solidFill>
                    <w14:schemeClr w14:val="tx1"/>
                  </w14:solidFill>
                </w14:textFill>
              </w:rPr>
              <w:t>1</w:t>
            </w:r>
          </w:p>
        </w:tc>
        <w:tc>
          <w:tcPr>
            <w:tcW w:w="622" w:type="pct"/>
            <w:vMerge w:val="continue"/>
            <w:vAlign w:val="center"/>
          </w:tcPr>
          <w:p>
            <w:pPr>
              <w:adjustRightInd w:val="0"/>
              <w:snapToGrid w:val="0"/>
              <w:jc w:val="center"/>
              <w:rPr>
                <w:rFonts w:ascii="Times New Roman" w:hAnsi="Times New Roman" w:eastAsia="仿宋"/>
                <w:color w:val="000000" w:themeColor="text1"/>
                <w:sz w:val="24"/>
                <w:szCs w:val="2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0" w:type="pct"/>
            <w:vMerge w:val="restart"/>
            <w:vAlign w:val="center"/>
          </w:tcPr>
          <w:p>
            <w:pPr>
              <w:adjustRightInd w:val="0"/>
              <w:snapToGrid w:val="0"/>
              <w:rPr>
                <w:rFonts w:ascii="Times New Roman" w:hAnsi="Times New Roman" w:eastAsia="仿宋"/>
                <w:color w:val="000000" w:themeColor="text1"/>
                <w:sz w:val="24"/>
                <w:szCs w:val="20"/>
                <w14:textFill>
                  <w14:solidFill>
                    <w14:schemeClr w14:val="tx1"/>
                  </w14:solidFill>
                </w14:textFill>
              </w:rPr>
            </w:pPr>
            <w:r>
              <w:rPr>
                <w:rFonts w:ascii="Times New Roman" w:hAnsi="Times New Roman" w:eastAsia="仿宋"/>
                <w:color w:val="000000" w:themeColor="text1"/>
                <w:sz w:val="24"/>
                <w:szCs w:val="20"/>
                <w14:textFill>
                  <w14:solidFill>
                    <w14:schemeClr w14:val="tx1"/>
                  </w14:solidFill>
                </w14:textFill>
              </w:rPr>
              <w:t>水泥制品</w:t>
            </w:r>
          </w:p>
        </w:tc>
        <w:tc>
          <w:tcPr>
            <w:tcW w:w="1171" w:type="pct"/>
            <w:vAlign w:val="center"/>
          </w:tcPr>
          <w:p>
            <w:pPr>
              <w:adjustRightInd w:val="0"/>
              <w:snapToGrid w:val="0"/>
              <w:rPr>
                <w:rFonts w:ascii="Times New Roman" w:hAnsi="Times New Roman" w:eastAsia="仿宋"/>
                <w:color w:val="000000" w:themeColor="text1"/>
                <w:sz w:val="24"/>
                <w:szCs w:val="20"/>
                <w14:textFill>
                  <w14:solidFill>
                    <w14:schemeClr w14:val="tx1"/>
                  </w14:solidFill>
                </w14:textFill>
              </w:rPr>
            </w:pPr>
            <w:r>
              <w:rPr>
                <w:rFonts w:ascii="Times New Roman" w:hAnsi="Times New Roman" w:eastAsia="仿宋"/>
                <w:color w:val="000000" w:themeColor="text1"/>
                <w:sz w:val="24"/>
                <w:szCs w:val="20"/>
                <w14:textFill>
                  <w14:solidFill>
                    <w14:schemeClr w14:val="tx1"/>
                  </w14:solidFill>
                </w14:textFill>
              </w:rPr>
              <w:t>清洁化生产改造完成率%</w:t>
            </w:r>
          </w:p>
        </w:tc>
        <w:tc>
          <w:tcPr>
            <w:tcW w:w="793" w:type="pct"/>
            <w:vMerge w:val="restart"/>
            <w:vAlign w:val="center"/>
          </w:tcPr>
          <w:p>
            <w:pPr>
              <w:adjustRightInd w:val="0"/>
              <w:snapToGrid w:val="0"/>
              <w:jc w:val="center"/>
              <w:rPr>
                <w:rFonts w:ascii="Times New Roman" w:hAnsi="Times New Roman" w:eastAsia="仿宋"/>
                <w:color w:val="000000" w:themeColor="text1"/>
                <w:sz w:val="24"/>
                <w:szCs w:val="20"/>
                <w14:textFill>
                  <w14:solidFill>
                    <w14:schemeClr w14:val="tx1"/>
                  </w14:solidFill>
                </w14:textFill>
              </w:rPr>
            </w:pPr>
            <w:r>
              <w:rPr>
                <w:rFonts w:ascii="Times New Roman" w:hAnsi="Times New Roman" w:eastAsia="仿宋"/>
                <w:color w:val="000000" w:themeColor="text1"/>
                <w:sz w:val="24"/>
                <w:szCs w:val="20"/>
                <w14:textFill>
                  <w14:solidFill>
                    <w14:schemeClr w14:val="tx1"/>
                  </w14:solidFill>
                </w14:textFill>
              </w:rPr>
              <w:t>—</w:t>
            </w:r>
          </w:p>
        </w:tc>
        <w:tc>
          <w:tcPr>
            <w:tcW w:w="1552" w:type="pct"/>
            <w:vAlign w:val="center"/>
          </w:tcPr>
          <w:p>
            <w:pPr>
              <w:adjustRightInd w:val="0"/>
              <w:snapToGrid w:val="0"/>
              <w:jc w:val="center"/>
              <w:rPr>
                <w:rFonts w:ascii="Times New Roman" w:hAnsi="Times New Roman" w:eastAsia="仿宋"/>
                <w:color w:val="000000" w:themeColor="text1"/>
                <w:sz w:val="24"/>
                <w:szCs w:val="20"/>
                <w14:textFill>
                  <w14:solidFill>
                    <w14:schemeClr w14:val="tx1"/>
                  </w14:solidFill>
                </w14:textFill>
              </w:rPr>
            </w:pPr>
            <w:r>
              <w:rPr>
                <w:rFonts w:ascii="Times New Roman" w:hAnsi="Times New Roman" w:eastAsia="仿宋"/>
                <w:color w:val="000000" w:themeColor="text1"/>
                <w:sz w:val="24"/>
                <w:szCs w:val="20"/>
                <w14:textFill>
                  <w14:solidFill>
                    <w14:schemeClr w14:val="tx1"/>
                  </w14:solidFill>
                </w14:textFill>
              </w:rPr>
              <w:t>100</w:t>
            </w:r>
          </w:p>
        </w:tc>
        <w:tc>
          <w:tcPr>
            <w:tcW w:w="622" w:type="pct"/>
            <w:vAlign w:val="center"/>
          </w:tcPr>
          <w:p>
            <w:pPr>
              <w:adjustRightInd w:val="0"/>
              <w:snapToGrid w:val="0"/>
              <w:jc w:val="center"/>
              <w:rPr>
                <w:rFonts w:ascii="Times New Roman" w:hAnsi="Times New Roman" w:eastAsia="仿宋"/>
                <w:color w:val="000000" w:themeColor="text1"/>
                <w:sz w:val="24"/>
                <w:szCs w:val="20"/>
                <w14:textFill>
                  <w14:solidFill>
                    <w14:schemeClr w14:val="tx1"/>
                  </w14:solidFill>
                </w14:textFill>
              </w:rPr>
            </w:pPr>
            <w:r>
              <w:rPr>
                <w:rFonts w:hint="eastAsia" w:ascii="Times New Roman" w:hAnsi="Times New Roman" w:eastAsia="仿宋"/>
                <w:color w:val="000000" w:themeColor="text1"/>
                <w:sz w:val="24"/>
                <w:szCs w:val="20"/>
                <w14:textFill>
                  <w14:solidFill>
                    <w14:schemeClr w14:val="tx1"/>
                  </w14:solidFill>
                </w14:textFill>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0" w:type="pct"/>
            <w:vMerge w:val="continue"/>
            <w:vAlign w:val="center"/>
          </w:tcPr>
          <w:p>
            <w:pPr>
              <w:adjustRightInd w:val="0"/>
              <w:snapToGrid w:val="0"/>
              <w:rPr>
                <w:rFonts w:ascii="Times New Roman" w:hAnsi="Times New Roman" w:eastAsia="仿宋"/>
                <w:color w:val="000000" w:themeColor="text1"/>
                <w14:textFill>
                  <w14:solidFill>
                    <w14:schemeClr w14:val="tx1"/>
                  </w14:solidFill>
                </w14:textFill>
              </w:rPr>
            </w:pPr>
          </w:p>
        </w:tc>
        <w:tc>
          <w:tcPr>
            <w:tcW w:w="1171" w:type="pct"/>
            <w:vAlign w:val="center"/>
          </w:tcPr>
          <w:p>
            <w:pPr>
              <w:adjustRightInd w:val="0"/>
              <w:snapToGrid w:val="0"/>
              <w:rPr>
                <w:rFonts w:ascii="Times New Roman" w:hAnsi="Times New Roman" w:eastAsia="仿宋"/>
                <w:color w:val="000000" w:themeColor="text1"/>
                <w:sz w:val="24"/>
                <w:szCs w:val="20"/>
                <w14:textFill>
                  <w14:solidFill>
                    <w14:schemeClr w14:val="tx1"/>
                  </w14:solidFill>
                </w14:textFill>
              </w:rPr>
            </w:pPr>
            <w:r>
              <w:rPr>
                <w:rFonts w:ascii="Times New Roman" w:hAnsi="Times New Roman" w:eastAsia="仿宋"/>
                <w:color w:val="000000" w:themeColor="text1"/>
                <w:sz w:val="24"/>
                <w:szCs w:val="20"/>
                <w14:textFill>
                  <w14:solidFill>
                    <w14:schemeClr w14:val="tx1"/>
                  </w14:solidFill>
                </w14:textFill>
              </w:rPr>
              <w:t>单位产品能耗kgce/t</w:t>
            </w:r>
          </w:p>
        </w:tc>
        <w:tc>
          <w:tcPr>
            <w:tcW w:w="793" w:type="pct"/>
            <w:vMerge w:val="continue"/>
            <w:vAlign w:val="center"/>
          </w:tcPr>
          <w:p>
            <w:pPr>
              <w:adjustRightInd w:val="0"/>
              <w:snapToGrid w:val="0"/>
              <w:rPr>
                <w:rFonts w:ascii="Times New Roman" w:hAnsi="Times New Roman" w:eastAsia="仿宋"/>
                <w:color w:val="000000" w:themeColor="text1"/>
                <w:sz w:val="24"/>
                <w:szCs w:val="20"/>
                <w14:textFill>
                  <w14:solidFill>
                    <w14:schemeClr w14:val="tx1"/>
                  </w14:solidFill>
                </w14:textFill>
              </w:rPr>
            </w:pPr>
          </w:p>
        </w:tc>
        <w:tc>
          <w:tcPr>
            <w:tcW w:w="1552" w:type="pct"/>
            <w:vAlign w:val="center"/>
          </w:tcPr>
          <w:p>
            <w:pPr>
              <w:adjustRightInd w:val="0"/>
              <w:snapToGrid w:val="0"/>
              <w:rPr>
                <w:rFonts w:ascii="Times New Roman" w:hAnsi="Times New Roman" w:eastAsia="仿宋"/>
                <w:color w:val="000000" w:themeColor="text1"/>
                <w:sz w:val="24"/>
                <w:szCs w:val="20"/>
                <w14:textFill>
                  <w14:solidFill>
                    <w14:schemeClr w14:val="tx1"/>
                  </w14:solidFill>
                </w14:textFill>
              </w:rPr>
            </w:pPr>
            <w:r>
              <w:rPr>
                <w:rFonts w:ascii="Times New Roman" w:hAnsi="Times New Roman" w:eastAsia="仿宋"/>
                <w:color w:val="000000" w:themeColor="text1"/>
                <w:sz w:val="24"/>
                <w:szCs w:val="20"/>
                <w14:textFill>
                  <w14:solidFill>
                    <w14:schemeClr w14:val="tx1"/>
                  </w14:solidFill>
                </w14:textFill>
              </w:rPr>
              <w:t>达到《水泥制品单位产品能源消耗限额》（GB38263—2019）三级能耗标准及以上</w:t>
            </w:r>
          </w:p>
        </w:tc>
        <w:tc>
          <w:tcPr>
            <w:tcW w:w="622" w:type="pct"/>
            <w:vMerge w:val="restart"/>
            <w:vAlign w:val="center"/>
          </w:tcPr>
          <w:p>
            <w:pPr>
              <w:adjustRightInd w:val="0"/>
              <w:snapToGrid w:val="0"/>
              <w:rPr>
                <w:rFonts w:ascii="Times New Roman" w:hAnsi="Times New Roman" w:eastAsia="仿宋"/>
                <w:color w:val="000000" w:themeColor="text1"/>
                <w:sz w:val="24"/>
                <w:szCs w:val="20"/>
                <w14:textFill>
                  <w14:solidFill>
                    <w14:schemeClr w14:val="tx1"/>
                  </w14:solidFill>
                </w14:textFill>
              </w:rPr>
            </w:pPr>
            <w:r>
              <w:rPr>
                <w:rFonts w:hint="eastAsia" w:ascii="Times New Roman" w:hAnsi="Times New Roman" w:eastAsia="仿宋"/>
                <w:color w:val="000000" w:themeColor="text1"/>
                <w:sz w:val="24"/>
                <w:szCs w:val="20"/>
                <w14:textFill>
                  <w14:solidFill>
                    <w14:schemeClr w14:val="tx1"/>
                  </w14:solidFill>
                </w14:textFill>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0" w:type="pct"/>
            <w:vMerge w:val="continue"/>
            <w:vAlign w:val="center"/>
          </w:tcPr>
          <w:p>
            <w:pPr>
              <w:adjustRightInd w:val="0"/>
              <w:snapToGrid w:val="0"/>
              <w:rPr>
                <w:rFonts w:ascii="Times New Roman" w:hAnsi="Times New Roman" w:eastAsia="仿宋"/>
                <w:color w:val="000000" w:themeColor="text1"/>
                <w:sz w:val="24"/>
                <w:szCs w:val="20"/>
                <w14:textFill>
                  <w14:solidFill>
                    <w14:schemeClr w14:val="tx1"/>
                  </w14:solidFill>
                </w14:textFill>
              </w:rPr>
            </w:pPr>
          </w:p>
        </w:tc>
        <w:tc>
          <w:tcPr>
            <w:tcW w:w="1171" w:type="pct"/>
            <w:vAlign w:val="center"/>
          </w:tcPr>
          <w:p>
            <w:pPr>
              <w:adjustRightInd w:val="0"/>
              <w:snapToGrid w:val="0"/>
              <w:rPr>
                <w:rFonts w:ascii="Times New Roman" w:hAnsi="Times New Roman" w:eastAsia="仿宋"/>
                <w:color w:val="000000" w:themeColor="text1"/>
                <w:sz w:val="24"/>
                <w:szCs w:val="20"/>
                <w14:textFill>
                  <w14:solidFill>
                    <w14:schemeClr w14:val="tx1"/>
                  </w14:solidFill>
                </w14:textFill>
              </w:rPr>
            </w:pPr>
            <w:r>
              <w:rPr>
                <w:rFonts w:ascii="Times New Roman" w:hAnsi="Times New Roman" w:eastAsia="仿宋"/>
                <w:color w:val="000000" w:themeColor="text1"/>
                <w:sz w:val="24"/>
                <w:szCs w:val="20"/>
                <w14:textFill>
                  <w14:solidFill>
                    <w14:schemeClr w14:val="tx1"/>
                  </w14:solidFill>
                </w14:textFill>
              </w:rPr>
              <w:t>生产水耗m³/m³</w:t>
            </w:r>
          </w:p>
        </w:tc>
        <w:tc>
          <w:tcPr>
            <w:tcW w:w="793" w:type="pct"/>
            <w:vMerge w:val="continue"/>
            <w:vAlign w:val="center"/>
          </w:tcPr>
          <w:p>
            <w:pPr>
              <w:adjustRightInd w:val="0"/>
              <w:snapToGrid w:val="0"/>
              <w:rPr>
                <w:rFonts w:ascii="Times New Roman" w:hAnsi="Times New Roman" w:eastAsia="仿宋"/>
                <w:color w:val="000000" w:themeColor="text1"/>
                <w:sz w:val="24"/>
                <w:szCs w:val="20"/>
                <w14:textFill>
                  <w14:solidFill>
                    <w14:schemeClr w14:val="tx1"/>
                  </w14:solidFill>
                </w14:textFill>
              </w:rPr>
            </w:pPr>
          </w:p>
        </w:tc>
        <w:tc>
          <w:tcPr>
            <w:tcW w:w="1552" w:type="pct"/>
            <w:vAlign w:val="center"/>
          </w:tcPr>
          <w:p>
            <w:pPr>
              <w:adjustRightInd w:val="0"/>
              <w:snapToGrid w:val="0"/>
              <w:rPr>
                <w:rFonts w:ascii="Times New Roman" w:hAnsi="Times New Roman" w:eastAsia="仿宋"/>
                <w:color w:val="000000" w:themeColor="text1"/>
                <w:sz w:val="24"/>
                <w:szCs w:val="20"/>
                <w14:textFill>
                  <w14:solidFill>
                    <w14:schemeClr w14:val="tx1"/>
                  </w14:solidFill>
                </w14:textFill>
              </w:rPr>
            </w:pPr>
            <w:r>
              <w:rPr>
                <w:rFonts w:ascii="Times New Roman" w:hAnsi="Times New Roman" w:eastAsia="仿宋"/>
                <w:color w:val="000000" w:themeColor="text1"/>
                <w:sz w:val="24"/>
                <w:szCs w:val="20"/>
                <w14:textFill>
                  <w14:solidFill>
                    <w14:schemeClr w14:val="tx1"/>
                  </w14:solidFill>
                </w14:textFill>
              </w:rPr>
              <w:t>优于《</w:t>
            </w:r>
            <w:r>
              <w:fldChar w:fldCharType="begin"/>
            </w:r>
            <w:r>
              <w:instrText xml:space="preserve"> HYPERLINK "https://www.miit.gov.cn/api-gateway/jpaas-web-server/front/document/file-download?fileUrl=/cms_files/filemanager/1226211233/attach/202012/b73f28f6677d44e0be019189be720eeb.pdf&amp;fileName=%E5%B7%A5%E4%B8%9A%E7%94%A8%E6%B0%B4%E5%AE%9A%E9%A2%9D%EF%BC%9A%E9%A2%84%E6%8B%8C%E6%B7%B7%E5%87%9D%E5%9C%9F%E5%8F%8A%E6%B0%B4%E6%B3%A5%E5%88%B6%E5%93%81.pdf" </w:instrText>
            </w:r>
            <w:r>
              <w:fldChar w:fldCharType="separate"/>
            </w:r>
            <w:r>
              <w:rPr>
                <w:rFonts w:ascii="Times New Roman" w:hAnsi="Times New Roman" w:eastAsia="仿宋"/>
                <w:color w:val="000000" w:themeColor="text1"/>
                <w:sz w:val="24"/>
                <w:szCs w:val="20"/>
                <w14:textFill>
                  <w14:solidFill>
                    <w14:schemeClr w14:val="tx1"/>
                  </w14:solidFill>
                </w14:textFill>
              </w:rPr>
              <w:t>工业用水定额：预拌混凝土及水泥制品</w:t>
            </w:r>
            <w:r>
              <w:rPr>
                <w:rFonts w:ascii="Times New Roman" w:hAnsi="Times New Roman" w:eastAsia="仿宋"/>
                <w:color w:val="000000" w:themeColor="text1"/>
                <w:sz w:val="24"/>
                <w:szCs w:val="20"/>
                <w14:textFill>
                  <w14:solidFill>
                    <w14:schemeClr w14:val="tx1"/>
                  </w14:solidFill>
                </w14:textFill>
              </w:rPr>
              <w:fldChar w:fldCharType="end"/>
            </w:r>
            <w:r>
              <w:rPr>
                <w:rFonts w:ascii="Times New Roman" w:hAnsi="Times New Roman" w:eastAsia="仿宋"/>
                <w:color w:val="000000" w:themeColor="text1"/>
                <w:sz w:val="24"/>
                <w:szCs w:val="20"/>
                <w14:textFill>
                  <w14:solidFill>
                    <w14:schemeClr w14:val="tx1"/>
                  </w14:solidFill>
                </w14:textFill>
              </w:rPr>
              <w:t>》（水节约〔2020〕290号）通用值水平</w:t>
            </w:r>
          </w:p>
        </w:tc>
        <w:tc>
          <w:tcPr>
            <w:tcW w:w="622" w:type="pct"/>
            <w:vMerge w:val="continue"/>
            <w:vAlign w:val="center"/>
          </w:tcPr>
          <w:p>
            <w:pPr>
              <w:adjustRightInd w:val="0"/>
              <w:snapToGrid w:val="0"/>
              <w:rPr>
                <w:rFonts w:ascii="Times New Roman" w:hAnsi="Times New Roman" w:eastAsia="仿宋"/>
                <w:color w:val="000000" w:themeColor="text1"/>
                <w:sz w:val="24"/>
                <w:szCs w:val="2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5"/>
            <w:vAlign w:val="center"/>
          </w:tcPr>
          <w:p>
            <w:pPr>
              <w:adjustRightInd w:val="0"/>
              <w:snapToGrid w:val="0"/>
              <w:jc w:val="left"/>
              <w:rPr>
                <w:rFonts w:ascii="Times New Roman" w:hAnsi="Times New Roman" w:eastAsia="仿宋"/>
                <w:b/>
                <w:color w:val="000000" w:themeColor="text1"/>
                <w:sz w:val="24"/>
                <w:szCs w:val="20"/>
                <w14:textFill>
                  <w14:solidFill>
                    <w14:schemeClr w14:val="tx1"/>
                  </w14:solidFill>
                </w14:textFill>
              </w:rPr>
            </w:pPr>
            <w:r>
              <w:rPr>
                <w:rFonts w:ascii="Times New Roman" w:hAnsi="Times New Roman" w:eastAsia="仿宋"/>
                <w:b/>
                <w:color w:val="000000" w:themeColor="text1"/>
                <w:sz w:val="24"/>
                <w:szCs w:val="20"/>
                <w14:textFill>
                  <w14:solidFill>
                    <w14:schemeClr w14:val="tx1"/>
                  </w14:solidFill>
                </w14:textFill>
              </w:rPr>
              <w:t>三、水泥制品提质增效目标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31" w:type="pct"/>
            <w:gridSpan w:val="2"/>
            <w:vAlign w:val="center"/>
          </w:tcPr>
          <w:p>
            <w:pPr>
              <w:adjustRightInd w:val="0"/>
              <w:snapToGrid w:val="0"/>
              <w:rPr>
                <w:rFonts w:ascii="Times New Roman" w:hAnsi="Times New Roman" w:eastAsia="仿宋"/>
                <w:color w:val="000000" w:themeColor="text1"/>
                <w:sz w:val="24"/>
                <w:szCs w:val="20"/>
                <w14:textFill>
                  <w14:solidFill>
                    <w14:schemeClr w14:val="tx1"/>
                  </w14:solidFill>
                </w14:textFill>
              </w:rPr>
            </w:pPr>
            <w:r>
              <w:rPr>
                <w:rFonts w:ascii="Times New Roman" w:hAnsi="Times New Roman" w:eastAsia="仿宋"/>
                <w:color w:val="000000" w:themeColor="text1"/>
                <w:sz w:val="24"/>
                <w:szCs w:val="20"/>
                <w14:textFill>
                  <w14:solidFill>
                    <w14:schemeClr w14:val="tx1"/>
                  </w14:solidFill>
                </w14:textFill>
              </w:rPr>
              <w:t>规模以上企业占比（%）</w:t>
            </w:r>
          </w:p>
        </w:tc>
        <w:tc>
          <w:tcPr>
            <w:tcW w:w="793" w:type="pct"/>
            <w:vAlign w:val="center"/>
          </w:tcPr>
          <w:p>
            <w:pPr>
              <w:adjustRightInd w:val="0"/>
              <w:snapToGrid w:val="0"/>
              <w:jc w:val="center"/>
              <w:rPr>
                <w:rFonts w:ascii="Times New Roman" w:hAnsi="Times New Roman" w:eastAsia="仿宋"/>
                <w:color w:val="000000" w:themeColor="text1"/>
                <w:sz w:val="24"/>
                <w:szCs w:val="20"/>
                <w14:textFill>
                  <w14:solidFill>
                    <w14:schemeClr w14:val="tx1"/>
                  </w14:solidFill>
                </w14:textFill>
              </w:rPr>
            </w:pPr>
            <w:r>
              <w:rPr>
                <w:rFonts w:ascii="Times New Roman" w:hAnsi="Times New Roman" w:eastAsia="仿宋"/>
                <w:color w:val="000000" w:themeColor="text1"/>
                <w:sz w:val="24"/>
                <w:szCs w:val="20"/>
                <w14:textFill>
                  <w14:solidFill>
                    <w14:schemeClr w14:val="tx1"/>
                  </w14:solidFill>
                </w14:textFill>
              </w:rPr>
              <w:t>—</w:t>
            </w:r>
          </w:p>
        </w:tc>
        <w:tc>
          <w:tcPr>
            <w:tcW w:w="1552" w:type="pct"/>
            <w:vAlign w:val="center"/>
          </w:tcPr>
          <w:p>
            <w:pPr>
              <w:adjustRightInd w:val="0"/>
              <w:snapToGrid w:val="0"/>
              <w:jc w:val="center"/>
              <w:rPr>
                <w:rFonts w:ascii="Times New Roman" w:hAnsi="Times New Roman" w:eastAsia="仿宋"/>
                <w:color w:val="000000" w:themeColor="text1"/>
                <w:sz w:val="24"/>
                <w:szCs w:val="20"/>
                <w14:textFill>
                  <w14:solidFill>
                    <w14:schemeClr w14:val="tx1"/>
                  </w14:solidFill>
                </w14:textFill>
              </w:rPr>
            </w:pPr>
            <w:r>
              <w:rPr>
                <w:rFonts w:ascii="Times New Roman" w:hAnsi="Times New Roman" w:eastAsia="仿宋"/>
                <w:color w:val="000000" w:themeColor="text1"/>
                <w:sz w:val="24"/>
                <w:szCs w:val="20"/>
                <w14:textFill>
                  <w14:solidFill>
                    <w14:schemeClr w14:val="tx1"/>
                  </w14:solidFill>
                </w14:textFill>
              </w:rPr>
              <w:t>50</w:t>
            </w:r>
          </w:p>
        </w:tc>
        <w:tc>
          <w:tcPr>
            <w:tcW w:w="622" w:type="pct"/>
            <w:vAlign w:val="center"/>
          </w:tcPr>
          <w:p>
            <w:pPr>
              <w:adjustRightInd w:val="0"/>
              <w:snapToGrid w:val="0"/>
              <w:jc w:val="center"/>
              <w:rPr>
                <w:rFonts w:ascii="Times New Roman" w:hAnsi="Times New Roman" w:eastAsia="仿宋"/>
                <w:color w:val="000000" w:themeColor="text1"/>
                <w:sz w:val="24"/>
                <w:szCs w:val="20"/>
                <w14:textFill>
                  <w14:solidFill>
                    <w14:schemeClr w14:val="tx1"/>
                  </w14:solidFill>
                </w14:textFill>
              </w:rPr>
            </w:pPr>
            <w:r>
              <w:rPr>
                <w:rFonts w:ascii="Times New Roman" w:hAnsi="Times New Roman" w:eastAsia="仿宋"/>
                <w:color w:val="000000" w:themeColor="text1"/>
                <w:sz w:val="24"/>
                <w:szCs w:val="20"/>
                <w14:textFill>
                  <w14:solidFill>
                    <w14:schemeClr w14:val="tx1"/>
                  </w14:solidFill>
                </w14:textFill>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31" w:type="pct"/>
            <w:gridSpan w:val="2"/>
            <w:vAlign w:val="center"/>
          </w:tcPr>
          <w:p>
            <w:pPr>
              <w:adjustRightInd w:val="0"/>
              <w:snapToGrid w:val="0"/>
              <w:rPr>
                <w:rFonts w:ascii="Times New Roman" w:hAnsi="Times New Roman" w:eastAsia="仿宋"/>
                <w:color w:val="000000" w:themeColor="text1"/>
                <w:sz w:val="24"/>
                <w:szCs w:val="20"/>
                <w14:textFill>
                  <w14:solidFill>
                    <w14:schemeClr w14:val="tx1"/>
                  </w14:solidFill>
                </w14:textFill>
              </w:rPr>
            </w:pPr>
            <w:r>
              <w:rPr>
                <w:rFonts w:ascii="Times New Roman" w:hAnsi="Times New Roman" w:eastAsia="仿宋"/>
                <w:color w:val="000000" w:themeColor="text1"/>
                <w:sz w:val="24"/>
                <w:szCs w:val="20"/>
                <w14:textFill>
                  <w14:solidFill>
                    <w14:schemeClr w14:val="tx1"/>
                  </w14:solidFill>
                </w14:textFill>
              </w:rPr>
              <w:t>培育或引进国内龙头企业（家）</w:t>
            </w:r>
          </w:p>
        </w:tc>
        <w:tc>
          <w:tcPr>
            <w:tcW w:w="793" w:type="pct"/>
            <w:vAlign w:val="center"/>
          </w:tcPr>
          <w:p>
            <w:pPr>
              <w:adjustRightInd w:val="0"/>
              <w:snapToGrid w:val="0"/>
              <w:jc w:val="center"/>
              <w:rPr>
                <w:rFonts w:ascii="Times New Roman" w:hAnsi="Times New Roman" w:eastAsia="仿宋"/>
                <w:color w:val="000000" w:themeColor="text1"/>
                <w:sz w:val="24"/>
                <w:szCs w:val="20"/>
                <w14:textFill>
                  <w14:solidFill>
                    <w14:schemeClr w14:val="tx1"/>
                  </w14:solidFill>
                </w14:textFill>
              </w:rPr>
            </w:pPr>
            <w:r>
              <w:rPr>
                <w:rFonts w:ascii="Times New Roman" w:hAnsi="Times New Roman" w:eastAsia="仿宋"/>
                <w:color w:val="000000" w:themeColor="text1"/>
                <w:sz w:val="24"/>
                <w:szCs w:val="20"/>
                <w14:textFill>
                  <w14:solidFill>
                    <w14:schemeClr w14:val="tx1"/>
                  </w14:solidFill>
                </w14:textFill>
              </w:rPr>
              <w:t>—</w:t>
            </w:r>
          </w:p>
        </w:tc>
        <w:tc>
          <w:tcPr>
            <w:tcW w:w="1552" w:type="pct"/>
            <w:vAlign w:val="center"/>
          </w:tcPr>
          <w:p>
            <w:pPr>
              <w:adjustRightInd w:val="0"/>
              <w:snapToGrid w:val="0"/>
              <w:jc w:val="center"/>
              <w:rPr>
                <w:rFonts w:ascii="Times New Roman" w:hAnsi="Times New Roman" w:eastAsia="仿宋"/>
                <w:color w:val="000000" w:themeColor="text1"/>
                <w:szCs w:val="20"/>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1</w:t>
            </w:r>
          </w:p>
        </w:tc>
        <w:tc>
          <w:tcPr>
            <w:tcW w:w="622"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5"/>
            <w:vAlign w:val="center"/>
          </w:tcPr>
          <w:p>
            <w:pPr>
              <w:adjustRightInd w:val="0"/>
              <w:snapToGrid w:val="0"/>
              <w:jc w:val="left"/>
              <w:rPr>
                <w:rFonts w:ascii="Times New Roman" w:hAnsi="Times New Roman" w:eastAsia="仿宋"/>
                <w:b/>
                <w:color w:val="000000" w:themeColor="text1"/>
                <w:sz w:val="24"/>
                <w:szCs w:val="20"/>
                <w14:textFill>
                  <w14:solidFill>
                    <w14:schemeClr w14:val="tx1"/>
                  </w14:solidFill>
                </w14:textFill>
              </w:rPr>
            </w:pPr>
            <w:r>
              <w:rPr>
                <w:rFonts w:ascii="Times New Roman" w:hAnsi="Times New Roman" w:eastAsia="仿宋"/>
                <w:b/>
                <w:color w:val="000000" w:themeColor="text1"/>
                <w:sz w:val="24"/>
                <w:szCs w:val="20"/>
                <w14:textFill>
                  <w14:solidFill>
                    <w14:schemeClr w14:val="tx1"/>
                  </w14:solidFill>
                </w14:textFill>
              </w:rPr>
              <w:t>四、先进制造发展目标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31" w:type="pct"/>
            <w:gridSpan w:val="2"/>
            <w:vAlign w:val="center"/>
          </w:tcPr>
          <w:p>
            <w:pPr>
              <w:adjustRightInd w:val="0"/>
              <w:snapToGrid w:val="0"/>
              <w:rPr>
                <w:rFonts w:ascii="Times New Roman" w:hAnsi="Times New Roman" w:eastAsia="仿宋"/>
                <w:color w:val="000000" w:themeColor="text1"/>
                <w:sz w:val="24"/>
                <w:szCs w:val="20"/>
                <w14:textFill>
                  <w14:solidFill>
                    <w14:schemeClr w14:val="tx1"/>
                  </w14:solidFill>
                </w14:textFill>
              </w:rPr>
            </w:pPr>
            <w:r>
              <w:rPr>
                <w:rFonts w:ascii="Times New Roman" w:hAnsi="Times New Roman" w:eastAsia="仿宋"/>
                <w:color w:val="000000" w:themeColor="text1"/>
                <w:sz w:val="24"/>
                <w:szCs w:val="20"/>
                <w14:textFill>
                  <w14:solidFill>
                    <w14:schemeClr w14:val="tx1"/>
                  </w14:solidFill>
                </w14:textFill>
              </w:rPr>
              <w:t>打造智能制造示范工厂（家）</w:t>
            </w:r>
          </w:p>
        </w:tc>
        <w:tc>
          <w:tcPr>
            <w:tcW w:w="793" w:type="pct"/>
            <w:vAlign w:val="center"/>
          </w:tcPr>
          <w:p>
            <w:pPr>
              <w:adjustRightInd w:val="0"/>
              <w:snapToGrid w:val="0"/>
              <w:jc w:val="center"/>
              <w:rPr>
                <w:rFonts w:ascii="Times New Roman" w:hAnsi="Times New Roman" w:eastAsia="仿宋"/>
                <w:color w:val="000000" w:themeColor="text1"/>
                <w:sz w:val="24"/>
                <w:szCs w:val="20"/>
                <w14:textFill>
                  <w14:solidFill>
                    <w14:schemeClr w14:val="tx1"/>
                  </w14:solidFill>
                </w14:textFill>
              </w:rPr>
            </w:pPr>
            <w:r>
              <w:rPr>
                <w:rFonts w:ascii="Times New Roman" w:hAnsi="Times New Roman" w:eastAsia="仿宋"/>
                <w:color w:val="000000" w:themeColor="text1"/>
                <w:sz w:val="24"/>
                <w:szCs w:val="20"/>
                <w14:textFill>
                  <w14:solidFill>
                    <w14:schemeClr w14:val="tx1"/>
                  </w14:solidFill>
                </w14:textFill>
              </w:rPr>
              <w:t>—</w:t>
            </w:r>
          </w:p>
        </w:tc>
        <w:tc>
          <w:tcPr>
            <w:tcW w:w="1552" w:type="pct"/>
            <w:vAlign w:val="center"/>
          </w:tcPr>
          <w:p>
            <w:pPr>
              <w:adjustRightInd w:val="0"/>
              <w:snapToGrid w:val="0"/>
              <w:jc w:val="center"/>
              <w:rPr>
                <w:rFonts w:ascii="Times New Roman" w:hAnsi="Times New Roman" w:eastAsia="仿宋"/>
                <w:color w:val="000000" w:themeColor="text1"/>
                <w:sz w:val="24"/>
                <w:szCs w:val="20"/>
                <w14:textFill>
                  <w14:solidFill>
                    <w14:schemeClr w14:val="tx1"/>
                  </w14:solidFill>
                </w14:textFill>
              </w:rPr>
            </w:pPr>
            <w:r>
              <w:rPr>
                <w:rFonts w:ascii="Times New Roman" w:hAnsi="Times New Roman" w:eastAsia="仿宋"/>
                <w:color w:val="000000" w:themeColor="text1"/>
                <w:sz w:val="24"/>
                <w:szCs w:val="20"/>
                <w14:textFill>
                  <w14:solidFill>
                    <w14:schemeClr w14:val="tx1"/>
                  </w14:solidFill>
                </w14:textFill>
              </w:rPr>
              <w:t>1</w:t>
            </w:r>
          </w:p>
        </w:tc>
        <w:tc>
          <w:tcPr>
            <w:tcW w:w="622" w:type="pct"/>
            <w:vAlign w:val="center"/>
          </w:tcPr>
          <w:p>
            <w:pPr>
              <w:adjustRightInd w:val="0"/>
              <w:snapToGrid w:val="0"/>
              <w:jc w:val="center"/>
              <w:rPr>
                <w:rFonts w:ascii="Times New Roman" w:hAnsi="Times New Roman" w:eastAsia="仿宋"/>
                <w:color w:val="000000" w:themeColor="text1"/>
                <w:sz w:val="24"/>
                <w:szCs w:val="20"/>
                <w14:textFill>
                  <w14:solidFill>
                    <w14:schemeClr w14:val="tx1"/>
                  </w14:solidFill>
                </w14:textFill>
              </w:rPr>
            </w:pPr>
            <w:r>
              <w:rPr>
                <w:rFonts w:ascii="Times New Roman" w:hAnsi="Times New Roman" w:eastAsia="仿宋"/>
                <w:color w:val="000000" w:themeColor="text1"/>
                <w:sz w:val="24"/>
                <w:szCs w:val="20"/>
                <w14:textFill>
                  <w14:solidFill>
                    <w14:schemeClr w14:val="tx1"/>
                  </w14:solidFill>
                </w14:textFill>
              </w:rPr>
              <w:t>预期性</w:t>
            </w:r>
          </w:p>
        </w:tc>
      </w:tr>
    </w:tbl>
    <w:p>
      <w:pPr>
        <w:pStyle w:val="2"/>
        <w:rPr>
          <w:rFonts w:ascii="Times New Roman" w:hAnsi="Times New Roman"/>
          <w:color w:val="000000" w:themeColor="text1"/>
          <w14:textFill>
            <w14:solidFill>
              <w14:schemeClr w14:val="tx1"/>
            </w14:solidFill>
          </w14:textFill>
        </w:rPr>
      </w:pPr>
    </w:p>
    <w:p>
      <w:pPr>
        <w:pStyle w:val="2"/>
        <w:rPr>
          <w:rFonts w:ascii="Times New Roman" w:hAnsi="Times New Roman"/>
          <w:color w:val="000000" w:themeColor="text1"/>
          <w14:textFill>
            <w14:solidFill>
              <w14:schemeClr w14:val="tx1"/>
            </w14:solidFill>
          </w14:textFill>
        </w:rPr>
        <w:sectPr>
          <w:pgSz w:w="11906" w:h="16838"/>
          <w:pgMar w:top="1440" w:right="1800" w:bottom="1440" w:left="1800" w:header="851" w:footer="992" w:gutter="0"/>
          <w:cols w:space="425" w:num="1"/>
          <w:docGrid w:type="lines" w:linePitch="312" w:charSpace="0"/>
        </w:sectPr>
      </w:pPr>
    </w:p>
    <w:p>
      <w:pPr>
        <w:pStyle w:val="2"/>
        <w:jc w:val="center"/>
        <w:outlineLvl w:val="0"/>
        <w:rPr>
          <w:rFonts w:ascii="Times New Roman" w:hAnsi="Times New Roman" w:eastAsia="黑体"/>
          <w:color w:val="000000" w:themeColor="text1"/>
          <w:kern w:val="0"/>
          <w:sz w:val="36"/>
          <w:szCs w:val="36"/>
          <w:lang w:bidi="ar"/>
          <w14:textFill>
            <w14:solidFill>
              <w14:schemeClr w14:val="tx1"/>
            </w14:solidFill>
          </w14:textFill>
        </w:rPr>
      </w:pPr>
      <w:bookmarkStart w:id="116" w:name="_Toc3632"/>
      <w:bookmarkStart w:id="117" w:name="_Toc26226"/>
      <w:bookmarkStart w:id="118" w:name="_Toc18991"/>
      <w:bookmarkStart w:id="119" w:name="_Toc14717"/>
      <w:bookmarkStart w:id="120" w:name="_Toc7373"/>
      <w:bookmarkStart w:id="121" w:name="_Toc5108"/>
      <w:bookmarkStart w:id="122" w:name="_Toc24975"/>
      <w:bookmarkStart w:id="123" w:name="_Toc23907"/>
      <w:bookmarkStart w:id="124" w:name="_Toc765"/>
      <w:bookmarkStart w:id="125" w:name="_Toc10328"/>
      <w:bookmarkStart w:id="126" w:name="_Toc15637"/>
      <w:bookmarkStart w:id="127" w:name="_Toc19295"/>
      <w:bookmarkStart w:id="128" w:name="_Toc14775"/>
      <w:bookmarkStart w:id="129" w:name="_Toc13949"/>
      <w:bookmarkStart w:id="130" w:name="_Toc89203817"/>
      <w:bookmarkStart w:id="131" w:name="_Toc1039"/>
      <w:bookmarkStart w:id="132" w:name="_Toc89203788"/>
      <w:bookmarkStart w:id="133" w:name="_Toc26486"/>
      <w:r>
        <w:rPr>
          <w:rFonts w:ascii="Times New Roman" w:hAnsi="Times New Roman" w:eastAsia="黑体"/>
          <w:color w:val="000000" w:themeColor="text1"/>
          <w:kern w:val="0"/>
          <w:sz w:val="36"/>
          <w:szCs w:val="36"/>
          <w:lang w:bidi="ar"/>
          <w14:textFill>
            <w14:solidFill>
              <w14:schemeClr w14:val="tx1"/>
            </w14:solidFill>
          </w14:textFill>
        </w:rPr>
        <w:t>第</w:t>
      </w:r>
      <w:r>
        <w:rPr>
          <w:rFonts w:hint="eastAsia" w:ascii="Times New Roman" w:hAnsi="Times New Roman" w:eastAsia="黑体"/>
          <w:color w:val="000000" w:themeColor="text1"/>
          <w:kern w:val="0"/>
          <w:sz w:val="36"/>
          <w:szCs w:val="36"/>
          <w:lang w:bidi="ar"/>
          <w14:textFill>
            <w14:solidFill>
              <w14:schemeClr w14:val="tx1"/>
            </w14:solidFill>
          </w14:textFill>
        </w:rPr>
        <w:t>四</w:t>
      </w:r>
      <w:r>
        <w:rPr>
          <w:rFonts w:ascii="Times New Roman" w:hAnsi="Times New Roman" w:eastAsia="黑体"/>
          <w:color w:val="000000" w:themeColor="text1"/>
          <w:kern w:val="0"/>
          <w:sz w:val="36"/>
          <w:szCs w:val="36"/>
          <w:lang w:bidi="ar"/>
          <w14:textFill>
            <w14:solidFill>
              <w14:schemeClr w14:val="tx1"/>
            </w14:solidFill>
          </w14:textFill>
        </w:rPr>
        <w:t>章</w:t>
      </w:r>
      <w:r>
        <w:rPr>
          <w:rFonts w:hint="eastAsia" w:ascii="Times New Roman" w:hAnsi="Times New Roman" w:eastAsia="黑体"/>
          <w:color w:val="000000" w:themeColor="text1"/>
          <w:kern w:val="0"/>
          <w:sz w:val="36"/>
          <w:szCs w:val="36"/>
          <w:lang w:bidi="ar"/>
          <w14:textFill>
            <w14:solidFill>
              <w14:schemeClr w14:val="tx1"/>
            </w14:solidFill>
          </w14:textFill>
        </w:rPr>
        <w:t xml:space="preserve">  </w:t>
      </w:r>
      <w:r>
        <w:rPr>
          <w:rFonts w:ascii="Times New Roman" w:hAnsi="Times New Roman" w:eastAsia="黑体"/>
          <w:color w:val="000000" w:themeColor="text1"/>
          <w:kern w:val="0"/>
          <w:sz w:val="36"/>
          <w:szCs w:val="36"/>
          <w:lang w:bidi="ar"/>
          <w14:textFill>
            <w14:solidFill>
              <w14:schemeClr w14:val="tx1"/>
            </w14:solidFill>
          </w14:textFill>
        </w:rPr>
        <w:t>规范条件与布局规划</w:t>
      </w:r>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p>
    <w:p>
      <w:pPr>
        <w:numPr>
          <w:ilvl w:val="0"/>
          <w:numId w:val="3"/>
        </w:numPr>
        <w:ind w:firstLine="640" w:firstLineChars="200"/>
        <w:outlineLvl w:val="1"/>
        <w:rPr>
          <w:rFonts w:ascii="Times New Roman" w:hAnsi="Times New Roman" w:eastAsia="黑体"/>
          <w:color w:val="000000" w:themeColor="text1"/>
          <w:kern w:val="0"/>
          <w:sz w:val="32"/>
          <w:szCs w:val="32"/>
          <w:lang w:bidi="ar"/>
          <w14:textFill>
            <w14:solidFill>
              <w14:schemeClr w14:val="tx1"/>
            </w14:solidFill>
          </w14:textFill>
        </w:rPr>
      </w:pPr>
      <w:bookmarkStart w:id="134" w:name="_Toc1169"/>
      <w:bookmarkStart w:id="135" w:name="_Toc3041"/>
      <w:bookmarkStart w:id="136" w:name="_Toc954"/>
      <w:bookmarkStart w:id="137" w:name="_Toc18261"/>
      <w:r>
        <w:rPr>
          <w:rFonts w:ascii="Times New Roman" w:hAnsi="Times New Roman" w:eastAsia="黑体"/>
          <w:color w:val="000000" w:themeColor="text1"/>
          <w:kern w:val="0"/>
          <w:sz w:val="32"/>
          <w:szCs w:val="32"/>
          <w:lang w:bidi="ar"/>
          <w14:textFill>
            <w14:solidFill>
              <w14:schemeClr w14:val="tx1"/>
            </w14:solidFill>
          </w14:textFill>
        </w:rPr>
        <w:t>行业规范条件</w:t>
      </w:r>
      <w:bookmarkEnd w:id="134"/>
      <w:bookmarkEnd w:id="135"/>
      <w:bookmarkEnd w:id="136"/>
      <w:bookmarkEnd w:id="137"/>
    </w:p>
    <w:p>
      <w:pPr>
        <w:ind w:firstLine="643" w:firstLineChars="200"/>
        <w:outlineLvl w:val="2"/>
        <w:rPr>
          <w:rFonts w:ascii="Times New Roman" w:hAnsi="Times New Roman" w:eastAsia="楷体"/>
          <w:b/>
          <w:color w:val="000000" w:themeColor="text1"/>
          <w:sz w:val="32"/>
          <w:szCs w:val="32"/>
          <w14:textFill>
            <w14:solidFill>
              <w14:schemeClr w14:val="tx1"/>
            </w14:solidFill>
          </w14:textFill>
        </w:rPr>
      </w:pPr>
      <w:bookmarkStart w:id="138" w:name="_Toc9214"/>
      <w:r>
        <w:rPr>
          <w:rFonts w:ascii="Times New Roman" w:hAnsi="Times New Roman" w:eastAsia="楷体"/>
          <w:b/>
          <w:color w:val="000000" w:themeColor="text1"/>
          <w:sz w:val="32"/>
          <w:szCs w:val="32"/>
          <w14:textFill>
            <w14:solidFill>
              <w14:schemeClr w14:val="tx1"/>
            </w14:solidFill>
          </w14:textFill>
        </w:rPr>
        <w:t>（一）</w:t>
      </w:r>
      <w:bookmarkEnd w:id="138"/>
      <w:r>
        <w:rPr>
          <w:rFonts w:ascii="Times New Roman" w:hAnsi="Times New Roman" w:eastAsia="楷体"/>
          <w:b/>
          <w:color w:val="000000" w:themeColor="text1"/>
          <w:sz w:val="32"/>
          <w:szCs w:val="32"/>
          <w14:textFill>
            <w14:solidFill>
              <w14:schemeClr w14:val="tx1"/>
            </w14:solidFill>
          </w14:textFill>
        </w:rPr>
        <w:t>选址要求</w:t>
      </w:r>
    </w:p>
    <w:p>
      <w:pPr>
        <w:spacing w:line="360" w:lineRule="auto"/>
        <w:ind w:firstLine="640" w:firstLineChars="200"/>
        <w:rPr>
          <w:rFonts w:ascii="Times New Roman" w:hAnsi="Times New Roman" w:eastAsia="仿宋"/>
          <w:color w:val="000000" w:themeColor="text1"/>
          <w:sz w:val="32"/>
          <w:szCs w:val="32"/>
          <w14:textFill>
            <w14:solidFill>
              <w14:schemeClr w14:val="tx1"/>
            </w14:solidFill>
          </w14:textFill>
        </w:rPr>
      </w:pPr>
      <w:r>
        <w:rPr>
          <w:rFonts w:ascii="Times New Roman" w:hAnsi="Times New Roman" w:eastAsia="仿宋"/>
          <w:color w:val="000000" w:themeColor="text1"/>
          <w:sz w:val="32"/>
          <w:szCs w:val="32"/>
          <w14:textFill>
            <w14:solidFill>
              <w14:schemeClr w14:val="tx1"/>
            </w14:solidFill>
          </w14:textFill>
        </w:rPr>
        <w:t>预拌混凝土生产站点和从事预拌砂浆生产的企业及预拌砂浆生产站点的设立，应当符合相关法律法规、国土空间规划、行业发展规划和</w:t>
      </w:r>
      <w:r>
        <w:rPr>
          <w:rFonts w:hint="eastAsia" w:ascii="Times New Roman" w:hAnsi="Times New Roman" w:eastAsia="仿宋"/>
          <w:color w:val="000000" w:themeColor="text1"/>
          <w:sz w:val="32"/>
          <w:szCs w:val="32"/>
          <w14:textFill>
            <w14:solidFill>
              <w14:schemeClr w14:val="tx1"/>
            </w14:solidFill>
          </w14:textFill>
        </w:rPr>
        <w:t>“</w:t>
      </w:r>
      <w:r>
        <w:rPr>
          <w:rFonts w:ascii="Times New Roman" w:hAnsi="Times New Roman" w:eastAsia="仿宋"/>
          <w:color w:val="000000" w:themeColor="text1"/>
          <w:sz w:val="32"/>
          <w:szCs w:val="32"/>
          <w14:textFill>
            <w14:solidFill>
              <w14:schemeClr w14:val="tx1"/>
            </w14:solidFill>
          </w14:textFill>
        </w:rPr>
        <w:t>三线一单</w:t>
      </w:r>
      <w:r>
        <w:rPr>
          <w:rFonts w:hint="eastAsia" w:ascii="Times New Roman" w:hAnsi="Times New Roman" w:eastAsia="仿宋"/>
          <w:color w:val="000000" w:themeColor="text1"/>
          <w:sz w:val="32"/>
          <w:szCs w:val="32"/>
          <w14:textFill>
            <w14:solidFill>
              <w14:schemeClr w14:val="tx1"/>
            </w14:solidFill>
          </w14:textFill>
        </w:rPr>
        <w:t>”</w:t>
      </w:r>
      <w:r>
        <w:rPr>
          <w:rFonts w:ascii="Times New Roman" w:hAnsi="Times New Roman" w:eastAsia="仿宋"/>
          <w:color w:val="000000" w:themeColor="text1"/>
          <w:sz w:val="32"/>
          <w:szCs w:val="32"/>
          <w14:textFill>
            <w14:solidFill>
              <w14:schemeClr w14:val="tx1"/>
            </w14:solidFill>
          </w14:textFill>
        </w:rPr>
        <w:t>生态环境分区管控等环境保护的要求。</w:t>
      </w:r>
    </w:p>
    <w:p>
      <w:pPr>
        <w:spacing w:line="360" w:lineRule="auto"/>
        <w:ind w:firstLine="640" w:firstLineChars="200"/>
        <w:rPr>
          <w:rFonts w:ascii="Times New Roman" w:hAnsi="Times New Roman" w:eastAsia="仿宋"/>
          <w:color w:val="000000" w:themeColor="text1"/>
          <w:sz w:val="32"/>
          <w:szCs w:val="32"/>
          <w14:textFill>
            <w14:solidFill>
              <w14:schemeClr w14:val="tx1"/>
            </w14:solidFill>
          </w14:textFill>
        </w:rPr>
      </w:pPr>
      <w:r>
        <w:rPr>
          <w:rFonts w:ascii="Times New Roman" w:hAnsi="Times New Roman" w:eastAsia="仿宋"/>
          <w:color w:val="000000" w:themeColor="text1"/>
          <w:sz w:val="32"/>
          <w:szCs w:val="32"/>
          <w14:textFill>
            <w14:solidFill>
              <w14:schemeClr w14:val="tx1"/>
            </w14:solidFill>
          </w14:textFill>
        </w:rPr>
        <w:t>下列区域不得设立预拌混凝土和预拌砂浆生产站点：</w:t>
      </w:r>
    </w:p>
    <w:p>
      <w:pPr>
        <w:spacing w:line="360" w:lineRule="auto"/>
        <w:ind w:firstLine="640" w:firstLineChars="200"/>
        <w:rPr>
          <w:rFonts w:ascii="Times New Roman" w:hAnsi="Times New Roman" w:eastAsia="仿宋"/>
          <w:color w:val="000000" w:themeColor="text1"/>
          <w:sz w:val="32"/>
          <w:szCs w:val="32"/>
          <w14:textFill>
            <w14:solidFill>
              <w14:schemeClr w14:val="tx1"/>
            </w14:solidFill>
          </w14:textFill>
        </w:rPr>
      </w:pPr>
      <w:r>
        <w:rPr>
          <w:rFonts w:hint="eastAsia" w:ascii="Times New Roman" w:hAnsi="Times New Roman" w:eastAsia="仿宋"/>
          <w:color w:val="000000" w:themeColor="text1"/>
          <w:sz w:val="32"/>
          <w:szCs w:val="32"/>
          <w14:textFill>
            <w14:solidFill>
              <w14:schemeClr w14:val="tx1"/>
            </w14:solidFill>
          </w14:textFill>
        </w:rPr>
        <w:t>1.</w:t>
      </w:r>
      <w:r>
        <w:rPr>
          <w:rFonts w:ascii="Times New Roman" w:hAnsi="Times New Roman" w:eastAsia="仿宋"/>
          <w:color w:val="000000" w:themeColor="text1"/>
          <w:sz w:val="32"/>
          <w:szCs w:val="32"/>
          <w14:textFill>
            <w14:solidFill>
              <w14:schemeClr w14:val="tx1"/>
            </w14:solidFill>
          </w14:textFill>
        </w:rPr>
        <w:t>住宅小区、学校、医院等人口密集的公共场所周边500米以内</w:t>
      </w:r>
      <w:r>
        <w:rPr>
          <w:rFonts w:hint="eastAsia" w:ascii="Times New Roman" w:hAnsi="Times New Roman" w:eastAsia="仿宋"/>
          <w:color w:val="000000" w:themeColor="text1"/>
          <w:sz w:val="32"/>
          <w:szCs w:val="32"/>
          <w14:textFill>
            <w14:solidFill>
              <w14:schemeClr w14:val="tx1"/>
            </w14:solidFill>
          </w14:textFill>
        </w:rPr>
        <w:t>。</w:t>
      </w:r>
    </w:p>
    <w:p>
      <w:pPr>
        <w:spacing w:line="360" w:lineRule="auto"/>
        <w:ind w:firstLine="640" w:firstLineChars="200"/>
        <w:rPr>
          <w:rFonts w:ascii="Times New Roman" w:hAnsi="Times New Roman" w:eastAsia="仿宋"/>
          <w:color w:val="000000" w:themeColor="text1"/>
          <w:sz w:val="32"/>
          <w:szCs w:val="32"/>
          <w14:textFill>
            <w14:solidFill>
              <w14:schemeClr w14:val="tx1"/>
            </w14:solidFill>
          </w14:textFill>
        </w:rPr>
      </w:pPr>
      <w:r>
        <w:rPr>
          <w:rFonts w:hint="eastAsia" w:ascii="Times New Roman" w:hAnsi="Times New Roman" w:eastAsia="仿宋"/>
          <w:color w:val="000000" w:themeColor="text1"/>
          <w:sz w:val="32"/>
          <w:szCs w:val="32"/>
          <w14:textFill>
            <w14:solidFill>
              <w14:schemeClr w14:val="tx1"/>
            </w14:solidFill>
          </w14:textFill>
        </w:rPr>
        <w:t>2.</w:t>
      </w:r>
      <w:r>
        <w:rPr>
          <w:rFonts w:ascii="Times New Roman" w:hAnsi="Times New Roman" w:eastAsia="仿宋"/>
          <w:color w:val="000000" w:themeColor="text1"/>
          <w:sz w:val="32"/>
          <w:szCs w:val="32"/>
          <w14:textFill>
            <w14:solidFill>
              <w14:schemeClr w14:val="tx1"/>
            </w14:solidFill>
          </w14:textFill>
        </w:rPr>
        <w:t>风景区周边500米以内</w:t>
      </w:r>
      <w:r>
        <w:rPr>
          <w:rFonts w:hint="eastAsia" w:ascii="Times New Roman" w:hAnsi="Times New Roman" w:eastAsia="仿宋"/>
          <w:color w:val="000000" w:themeColor="text1"/>
          <w:sz w:val="32"/>
          <w:szCs w:val="32"/>
          <w14:textFill>
            <w14:solidFill>
              <w14:schemeClr w14:val="tx1"/>
            </w14:solidFill>
          </w14:textFill>
        </w:rPr>
        <w:t>。</w:t>
      </w:r>
    </w:p>
    <w:p>
      <w:pPr>
        <w:spacing w:line="360" w:lineRule="auto"/>
        <w:ind w:firstLine="640" w:firstLineChars="200"/>
        <w:rPr>
          <w:rFonts w:ascii="Times New Roman" w:hAnsi="Times New Roman" w:eastAsia="仿宋"/>
          <w:color w:val="000000" w:themeColor="text1"/>
          <w:sz w:val="32"/>
          <w:szCs w:val="32"/>
          <w14:textFill>
            <w14:solidFill>
              <w14:schemeClr w14:val="tx1"/>
            </w14:solidFill>
          </w14:textFill>
        </w:rPr>
      </w:pPr>
      <w:r>
        <w:rPr>
          <w:rFonts w:hint="eastAsia" w:ascii="Times New Roman" w:hAnsi="Times New Roman" w:eastAsia="仿宋"/>
          <w:color w:val="000000" w:themeColor="text1"/>
          <w:sz w:val="32"/>
          <w:szCs w:val="32"/>
          <w14:textFill>
            <w14:solidFill>
              <w14:schemeClr w14:val="tx1"/>
            </w14:solidFill>
          </w14:textFill>
        </w:rPr>
        <w:t>3.</w:t>
      </w:r>
      <w:r>
        <w:rPr>
          <w:rFonts w:ascii="Times New Roman" w:hAnsi="Times New Roman" w:eastAsia="仿宋"/>
          <w:color w:val="000000" w:themeColor="text1"/>
          <w:sz w:val="32"/>
          <w:szCs w:val="32"/>
          <w14:textFill>
            <w14:solidFill>
              <w14:schemeClr w14:val="tx1"/>
            </w14:solidFill>
          </w14:textFill>
        </w:rPr>
        <w:t>饮用水水源保护区、风景名胜区、自然保护区、世界文化和自然遗产地、基本农田保护区，以居住、医疗卫生、文化教育、科研、行政办公等为主要功能的区域，以及文物保护单位等环境敏感区。</w:t>
      </w:r>
    </w:p>
    <w:p>
      <w:pPr>
        <w:spacing w:line="360" w:lineRule="auto"/>
        <w:ind w:firstLine="640" w:firstLineChars="200"/>
        <w:rPr>
          <w:rFonts w:ascii="Times New Roman" w:hAnsi="Times New Roman"/>
          <w:color w:val="000000" w:themeColor="text1"/>
          <w:sz w:val="32"/>
          <w:szCs w:val="32"/>
          <w14:textFill>
            <w14:solidFill>
              <w14:schemeClr w14:val="tx1"/>
            </w14:solidFill>
          </w14:textFill>
        </w:rPr>
      </w:pPr>
      <w:r>
        <w:rPr>
          <w:rFonts w:ascii="Times New Roman" w:hAnsi="Times New Roman" w:eastAsia="仿宋"/>
          <w:color w:val="000000" w:themeColor="text1"/>
          <w:sz w:val="32"/>
          <w:szCs w:val="32"/>
          <w14:textFill>
            <w14:solidFill>
              <w14:schemeClr w14:val="tx1"/>
            </w14:solidFill>
          </w14:textFill>
        </w:rPr>
        <w:t>位于上述范围内的现有生产站点，在规划期内，应按照有关要求逐步关闭或者外迁。</w:t>
      </w:r>
    </w:p>
    <w:p>
      <w:pPr>
        <w:ind w:firstLine="643" w:firstLineChars="200"/>
        <w:outlineLvl w:val="2"/>
        <w:rPr>
          <w:rFonts w:ascii="Times New Roman" w:hAnsi="Times New Roman" w:eastAsia="楷体"/>
          <w:b/>
          <w:color w:val="000000" w:themeColor="text1"/>
          <w:sz w:val="32"/>
          <w:szCs w:val="32"/>
          <w14:textFill>
            <w14:solidFill>
              <w14:schemeClr w14:val="tx1"/>
            </w14:solidFill>
          </w14:textFill>
        </w:rPr>
      </w:pPr>
      <w:r>
        <w:rPr>
          <w:rFonts w:ascii="Times New Roman" w:hAnsi="Times New Roman" w:eastAsia="楷体"/>
          <w:b/>
          <w:color w:val="000000" w:themeColor="text1"/>
          <w:sz w:val="32"/>
          <w:szCs w:val="32"/>
          <w14:textFill>
            <w14:solidFill>
              <w14:schemeClr w14:val="tx1"/>
            </w14:solidFill>
          </w14:textFill>
        </w:rPr>
        <w:t>（二）建设标准</w:t>
      </w:r>
    </w:p>
    <w:p>
      <w:pPr>
        <w:spacing w:line="360" w:lineRule="auto"/>
        <w:ind w:firstLine="643" w:firstLineChars="200"/>
        <w:rPr>
          <w:rFonts w:ascii="Times New Roman" w:hAnsi="Times New Roman" w:eastAsia="仿宋"/>
          <w:b/>
          <w:bCs/>
          <w:color w:val="000000" w:themeColor="text1"/>
          <w:sz w:val="32"/>
          <w:szCs w:val="32"/>
          <w14:textFill>
            <w14:solidFill>
              <w14:schemeClr w14:val="tx1"/>
            </w14:solidFill>
          </w14:textFill>
        </w:rPr>
      </w:pPr>
      <w:r>
        <w:rPr>
          <w:rFonts w:ascii="Times New Roman" w:hAnsi="Times New Roman" w:eastAsia="仿宋"/>
          <w:b/>
          <w:bCs/>
          <w:color w:val="000000" w:themeColor="text1"/>
          <w:sz w:val="32"/>
          <w:szCs w:val="32"/>
          <w14:textFill>
            <w14:solidFill>
              <w14:schemeClr w14:val="tx1"/>
            </w14:solidFill>
          </w14:textFill>
        </w:rPr>
        <w:t>1.预拌混凝土生产项目建设标准（含新建、迁建）</w:t>
      </w:r>
    </w:p>
    <w:p>
      <w:pPr>
        <w:spacing w:line="360" w:lineRule="auto"/>
        <w:ind w:firstLine="640" w:firstLineChars="200"/>
        <w:rPr>
          <w:rFonts w:ascii="Times New Roman" w:hAnsi="Times New Roman" w:eastAsia="仿宋"/>
          <w:color w:val="000000" w:themeColor="text1"/>
          <w:sz w:val="32"/>
          <w:szCs w:val="32"/>
          <w14:textFill>
            <w14:solidFill>
              <w14:schemeClr w14:val="tx1"/>
            </w14:solidFill>
          </w14:textFill>
        </w:rPr>
      </w:pPr>
      <w:r>
        <w:rPr>
          <w:rFonts w:ascii="Times New Roman" w:hAnsi="Times New Roman" w:eastAsia="仿宋"/>
          <w:color w:val="000000" w:themeColor="text1"/>
          <w:sz w:val="32"/>
          <w:szCs w:val="32"/>
          <w14:textFill>
            <w14:solidFill>
              <w14:schemeClr w14:val="tx1"/>
            </w14:solidFill>
          </w14:textFill>
        </w:rPr>
        <w:t>（1）县（区）中心城区的预拌混凝土生产项目单条生产线规模应大于或等于180立方米/小时（搅拌机公称容量：3立方米）；服务乡镇农村市场，且选址不在县（区）中心城区的预拌混凝土生产项目单条生产线规模应大于或等于120立方米/小时（搅拌机公称容量：2立方米）。</w:t>
      </w:r>
    </w:p>
    <w:p>
      <w:pPr>
        <w:spacing w:line="360" w:lineRule="auto"/>
        <w:ind w:firstLine="640" w:firstLineChars="200"/>
        <w:rPr>
          <w:rFonts w:ascii="Times New Roman" w:hAnsi="Times New Roman" w:eastAsia="仿宋"/>
          <w:color w:val="000000" w:themeColor="text1"/>
          <w:sz w:val="32"/>
          <w:szCs w:val="32"/>
          <w14:textFill>
            <w14:solidFill>
              <w14:schemeClr w14:val="tx1"/>
            </w14:solidFill>
          </w14:textFill>
        </w:rPr>
      </w:pPr>
      <w:r>
        <w:rPr>
          <w:rFonts w:ascii="Times New Roman" w:hAnsi="Times New Roman" w:eastAsia="仿宋"/>
          <w:color w:val="000000" w:themeColor="text1"/>
          <w:sz w:val="32"/>
          <w:szCs w:val="32"/>
          <w14:textFill>
            <w14:solidFill>
              <w14:schemeClr w14:val="tx1"/>
            </w14:solidFill>
          </w14:textFill>
        </w:rPr>
        <w:t>（2）预拌混凝土生产项目应满足绿色生产要求，企业生产和项目管理应满足《预拌混凝土绿色生产及管理技术规程》JGJ/T328的要求和钦州市预拌混凝土绿色生产管理有关规定，其中县（区）中心城区的预拌混凝土新建（含迁建）项目，需达到绿色二星级及以上水平</w:t>
      </w:r>
      <w:r>
        <w:rPr>
          <w:rFonts w:hint="eastAsia" w:ascii="Times New Roman" w:hAnsi="Times New Roman" w:eastAsia="仿宋"/>
          <w:color w:val="000000" w:themeColor="text1"/>
          <w:sz w:val="32"/>
          <w:szCs w:val="32"/>
          <w:lang w:eastAsia="zh-CN"/>
          <w14:textFill>
            <w14:solidFill>
              <w14:schemeClr w14:val="tx1"/>
            </w14:solidFill>
          </w14:textFill>
        </w:rPr>
        <w:t>；服务乡镇农村市场，且选址不在县（区）中心城区的预拌混凝土新建（含迁建）项目</w:t>
      </w:r>
      <w:r>
        <w:rPr>
          <w:rFonts w:ascii="Times New Roman" w:hAnsi="Times New Roman" w:eastAsia="仿宋"/>
          <w:color w:val="000000" w:themeColor="text1"/>
          <w:sz w:val="32"/>
          <w:szCs w:val="32"/>
          <w14:textFill>
            <w14:solidFill>
              <w14:schemeClr w14:val="tx1"/>
            </w14:solidFill>
          </w14:textFill>
        </w:rPr>
        <w:t>，需达到绿色</w:t>
      </w:r>
      <w:r>
        <w:rPr>
          <w:rFonts w:hint="eastAsia" w:ascii="Times New Roman" w:hAnsi="Times New Roman" w:eastAsia="仿宋"/>
          <w:color w:val="000000" w:themeColor="text1"/>
          <w:sz w:val="32"/>
          <w:szCs w:val="32"/>
          <w:lang w:val="en-US" w:eastAsia="zh-CN"/>
          <w14:textFill>
            <w14:solidFill>
              <w14:schemeClr w14:val="tx1"/>
            </w14:solidFill>
          </w14:textFill>
        </w:rPr>
        <w:t>一</w:t>
      </w:r>
      <w:r>
        <w:rPr>
          <w:rFonts w:ascii="Times New Roman" w:hAnsi="Times New Roman" w:eastAsia="仿宋"/>
          <w:color w:val="000000" w:themeColor="text1"/>
          <w:sz w:val="32"/>
          <w:szCs w:val="32"/>
          <w14:textFill>
            <w14:solidFill>
              <w14:schemeClr w14:val="tx1"/>
            </w14:solidFill>
          </w14:textFill>
        </w:rPr>
        <w:t>星级及以上水平</w:t>
      </w:r>
      <w:r>
        <w:rPr>
          <w:rFonts w:hint="eastAsia" w:ascii="Times New Roman" w:hAnsi="Times New Roman" w:eastAsia="仿宋"/>
          <w:color w:val="000000" w:themeColor="text1"/>
          <w:sz w:val="32"/>
          <w:szCs w:val="32"/>
          <w:lang w:eastAsia="zh-CN"/>
          <w14:textFill>
            <w14:solidFill>
              <w14:schemeClr w14:val="tx1"/>
            </w14:solidFill>
          </w14:textFill>
        </w:rPr>
        <w:t>；</w:t>
      </w:r>
      <w:r>
        <w:rPr>
          <w:rFonts w:ascii="Times New Roman" w:hAnsi="Times New Roman" w:eastAsia="仿宋"/>
          <w:color w:val="000000" w:themeColor="text1"/>
          <w:sz w:val="32"/>
          <w:szCs w:val="32"/>
          <w14:textFill>
            <w14:solidFill>
              <w14:schemeClr w14:val="tx1"/>
            </w14:solidFill>
          </w14:textFill>
        </w:rPr>
        <w:t>现有的预拌混凝土搅拌站在规划期内应开展绿色评价，进行清洁化生产改造，需达到绿色一星级及以上水平。</w:t>
      </w:r>
    </w:p>
    <w:p>
      <w:pPr>
        <w:spacing w:line="360" w:lineRule="auto"/>
        <w:ind w:firstLine="640" w:firstLineChars="200"/>
        <w:rPr>
          <w:rFonts w:hint="default" w:ascii="Times New Roman" w:hAnsi="Times New Roman" w:eastAsia="仿宋"/>
          <w:color w:val="FF0000"/>
          <w:sz w:val="32"/>
          <w:szCs w:val="32"/>
          <w:lang w:val="en-US" w:eastAsia="zh-CN"/>
        </w:rPr>
      </w:pPr>
      <w:r>
        <w:rPr>
          <w:rFonts w:ascii="Times New Roman" w:hAnsi="Times New Roman" w:eastAsia="仿宋"/>
          <w:color w:val="000000" w:themeColor="text1"/>
          <w:sz w:val="32"/>
          <w:szCs w:val="32"/>
          <w14:textFill>
            <w14:solidFill>
              <w14:schemeClr w14:val="tx1"/>
            </w14:solidFill>
          </w14:textFill>
        </w:rPr>
        <w:t>（3）预拌混凝土生产项目的生产质量、工艺、装备和试验室建设，应符合</w:t>
      </w:r>
      <w:r>
        <w:rPr>
          <w:rFonts w:hint="eastAsia" w:ascii="Times New Roman" w:hAnsi="Times New Roman" w:eastAsia="仿宋"/>
          <w:color w:val="FF0000"/>
          <w:sz w:val="32"/>
          <w:szCs w:val="32"/>
          <w:lang w:val="en-US" w:eastAsia="zh-CN"/>
        </w:rPr>
        <w:t>《广西壮族自治区建设工程预拌商品混凝土质量监督管理规定》和</w:t>
      </w:r>
      <w:r>
        <w:rPr>
          <w:rFonts w:ascii="Times New Roman" w:hAnsi="Times New Roman" w:eastAsia="仿宋"/>
          <w:color w:val="000000" w:themeColor="text1"/>
          <w:sz w:val="32"/>
          <w:szCs w:val="32"/>
          <w14:textFill>
            <w14:solidFill>
              <w14:schemeClr w14:val="tx1"/>
            </w14:solidFill>
          </w14:textFill>
        </w:rPr>
        <w:t>国家、自治区</w:t>
      </w:r>
      <w:r>
        <w:rPr>
          <w:rFonts w:hint="eastAsia" w:ascii="Times New Roman" w:hAnsi="Times New Roman" w:eastAsia="仿宋"/>
          <w:color w:val="000000" w:themeColor="text1"/>
          <w:sz w:val="32"/>
          <w:szCs w:val="32"/>
          <w:lang w:val="en-US" w:eastAsia="zh-CN"/>
          <w14:textFill>
            <w14:solidFill>
              <w14:schemeClr w14:val="tx1"/>
            </w14:solidFill>
          </w14:textFill>
        </w:rPr>
        <w:t>其他</w:t>
      </w:r>
      <w:r>
        <w:rPr>
          <w:rFonts w:ascii="Times New Roman" w:hAnsi="Times New Roman" w:eastAsia="仿宋"/>
          <w:color w:val="000000" w:themeColor="text1"/>
          <w:sz w:val="32"/>
          <w:szCs w:val="32"/>
          <w14:textFill>
            <w14:solidFill>
              <w14:schemeClr w14:val="tx1"/>
            </w14:solidFill>
          </w14:textFill>
        </w:rPr>
        <w:t>相关标准和管理规定，同时质量控制过程推荐实施信息化管理，提升数字化制造水平。</w:t>
      </w:r>
    </w:p>
    <w:p>
      <w:pPr>
        <w:spacing w:line="360" w:lineRule="auto"/>
        <w:ind w:firstLine="640" w:firstLineChars="200"/>
        <w:rPr>
          <w:rFonts w:ascii="Times New Roman" w:hAnsi="Times New Roman" w:eastAsia="仿宋"/>
          <w:color w:val="000000" w:themeColor="text1"/>
          <w:sz w:val="32"/>
          <w:szCs w:val="32"/>
          <w14:textFill>
            <w14:solidFill>
              <w14:schemeClr w14:val="tx1"/>
            </w14:solidFill>
          </w14:textFill>
        </w:rPr>
      </w:pPr>
      <w:r>
        <w:rPr>
          <w:rFonts w:ascii="Times New Roman" w:hAnsi="Times New Roman" w:eastAsia="仿宋"/>
          <w:color w:val="000000" w:themeColor="text1"/>
          <w:sz w:val="32"/>
          <w:szCs w:val="32"/>
          <w14:textFill>
            <w14:solidFill>
              <w14:schemeClr w14:val="tx1"/>
            </w14:solidFill>
          </w14:textFill>
        </w:rPr>
        <w:t>（4）预拌混凝土生产项目搅拌站（楼）建设应采用整体封闭方式，安装除尘装置。推荐采用远程PLC操作控制系统和MES智能执行制造系统。</w:t>
      </w:r>
    </w:p>
    <w:p>
      <w:pPr>
        <w:spacing w:line="360" w:lineRule="auto"/>
        <w:ind w:firstLine="640" w:firstLineChars="200"/>
        <w:rPr>
          <w:rFonts w:ascii="Times New Roman" w:hAnsi="Times New Roman" w:eastAsia="仿宋"/>
          <w:color w:val="000000" w:themeColor="text1"/>
          <w:sz w:val="32"/>
          <w:szCs w:val="32"/>
          <w14:textFill>
            <w14:solidFill>
              <w14:schemeClr w14:val="tx1"/>
            </w14:solidFill>
          </w14:textFill>
        </w:rPr>
      </w:pPr>
      <w:r>
        <w:rPr>
          <w:rFonts w:ascii="Times New Roman" w:hAnsi="Times New Roman" w:eastAsia="仿宋"/>
          <w:color w:val="000000" w:themeColor="text1"/>
          <w:sz w:val="32"/>
          <w:szCs w:val="32"/>
          <w14:textFill>
            <w14:solidFill>
              <w14:schemeClr w14:val="tx1"/>
            </w14:solidFill>
          </w14:textFill>
        </w:rPr>
        <w:t>（5）预拌混凝土生产项目应进行能耗评估，其中单位产品能耗应不大于《预拌混凝土单位产品能源消耗限额》GB36888标准规定的2级能耗限额要求，即生产能耗不大于0.7公斤标煤/立方米，运输能耗不大于2.65公斤标煤/立方米。</w:t>
      </w:r>
    </w:p>
    <w:p>
      <w:pPr>
        <w:spacing w:line="360" w:lineRule="auto"/>
        <w:ind w:firstLine="640" w:firstLineChars="200"/>
        <w:rPr>
          <w:rFonts w:ascii="Times New Roman" w:hAnsi="Times New Roman" w:eastAsia="仿宋"/>
          <w:color w:val="000000" w:themeColor="text1"/>
          <w:sz w:val="32"/>
          <w:szCs w:val="32"/>
          <w14:textFill>
            <w14:solidFill>
              <w14:schemeClr w14:val="tx1"/>
            </w14:solidFill>
          </w14:textFill>
        </w:rPr>
      </w:pPr>
      <w:r>
        <w:rPr>
          <w:rFonts w:ascii="Times New Roman" w:hAnsi="Times New Roman" w:eastAsia="仿宋"/>
          <w:color w:val="000000" w:themeColor="text1"/>
          <w:sz w:val="32"/>
          <w:szCs w:val="32"/>
          <w14:textFill>
            <w14:solidFill>
              <w14:schemeClr w14:val="tx1"/>
            </w14:solidFill>
          </w14:textFill>
        </w:rPr>
        <w:t>（</w:t>
      </w:r>
      <w:r>
        <w:rPr>
          <w:rFonts w:hint="eastAsia" w:ascii="Times New Roman" w:hAnsi="Times New Roman" w:eastAsia="仿宋"/>
          <w:color w:val="000000" w:themeColor="text1"/>
          <w:sz w:val="32"/>
          <w:szCs w:val="32"/>
          <w:lang w:val="en-US" w:eastAsia="zh-CN"/>
          <w14:textFill>
            <w14:solidFill>
              <w14:schemeClr w14:val="tx1"/>
            </w14:solidFill>
          </w14:textFill>
        </w:rPr>
        <w:t>6</w:t>
      </w:r>
      <w:r>
        <w:rPr>
          <w:rFonts w:ascii="Times New Roman" w:hAnsi="Times New Roman" w:eastAsia="仿宋"/>
          <w:color w:val="000000" w:themeColor="text1"/>
          <w:sz w:val="32"/>
          <w:szCs w:val="32"/>
          <w14:textFill>
            <w14:solidFill>
              <w14:schemeClr w14:val="tx1"/>
            </w14:solidFill>
          </w14:textFill>
        </w:rPr>
        <w:t>）规划期内，国家、自治区颁布有最新标准、规定、规章等法律法规的</w:t>
      </w:r>
      <w:r>
        <w:rPr>
          <w:rFonts w:hint="eastAsia" w:ascii="Times New Roman" w:hAnsi="Times New Roman" w:eastAsia="仿宋"/>
          <w:color w:val="000000" w:themeColor="text1"/>
          <w:sz w:val="32"/>
          <w:szCs w:val="32"/>
          <w14:textFill>
            <w14:solidFill>
              <w14:schemeClr w14:val="tx1"/>
            </w14:solidFill>
          </w14:textFill>
        </w:rPr>
        <w:t>，遵</w:t>
      </w:r>
      <w:r>
        <w:rPr>
          <w:rFonts w:ascii="Times New Roman" w:hAnsi="Times New Roman" w:eastAsia="仿宋"/>
          <w:color w:val="000000" w:themeColor="text1"/>
          <w:sz w:val="32"/>
          <w:szCs w:val="32"/>
          <w14:textFill>
            <w14:solidFill>
              <w14:schemeClr w14:val="tx1"/>
            </w14:solidFill>
          </w14:textFill>
        </w:rPr>
        <w:t>从其标准和规定。</w:t>
      </w:r>
    </w:p>
    <w:p>
      <w:pPr>
        <w:spacing w:line="360" w:lineRule="auto"/>
        <w:ind w:firstLine="643" w:firstLineChars="200"/>
        <w:rPr>
          <w:rFonts w:ascii="Times New Roman" w:hAnsi="Times New Roman" w:eastAsia="仿宋"/>
          <w:b/>
          <w:bCs/>
          <w:color w:val="000000" w:themeColor="text1"/>
          <w:sz w:val="32"/>
          <w:szCs w:val="32"/>
          <w14:textFill>
            <w14:solidFill>
              <w14:schemeClr w14:val="tx1"/>
            </w14:solidFill>
          </w14:textFill>
        </w:rPr>
      </w:pPr>
      <w:r>
        <w:rPr>
          <w:rFonts w:ascii="Times New Roman" w:hAnsi="Times New Roman" w:eastAsia="仿宋"/>
          <w:b/>
          <w:bCs/>
          <w:color w:val="000000" w:themeColor="text1"/>
          <w:sz w:val="32"/>
          <w:szCs w:val="32"/>
          <w14:textFill>
            <w14:solidFill>
              <w14:schemeClr w14:val="tx1"/>
            </w14:solidFill>
          </w14:textFill>
        </w:rPr>
        <w:t>2.预拌砂浆生产项目建设标准（含新建、迁建）</w:t>
      </w:r>
    </w:p>
    <w:p>
      <w:pPr>
        <w:spacing w:line="360" w:lineRule="auto"/>
        <w:ind w:firstLine="640" w:firstLineChars="200"/>
        <w:rPr>
          <w:rFonts w:ascii="Times New Roman" w:hAnsi="Times New Roman" w:eastAsia="仿宋"/>
          <w:color w:val="000000" w:themeColor="text1"/>
          <w:sz w:val="32"/>
          <w:szCs w:val="32"/>
          <w14:textFill>
            <w14:solidFill>
              <w14:schemeClr w14:val="tx1"/>
            </w14:solidFill>
          </w14:textFill>
        </w:rPr>
      </w:pPr>
      <w:r>
        <w:rPr>
          <w:rFonts w:ascii="Times New Roman" w:hAnsi="Times New Roman" w:eastAsia="仿宋"/>
          <w:color w:val="000000" w:themeColor="text1"/>
          <w:sz w:val="32"/>
          <w:szCs w:val="32"/>
          <w14:textFill>
            <w14:solidFill>
              <w14:schemeClr w14:val="tx1"/>
            </w14:solidFill>
          </w14:textFill>
        </w:rPr>
        <w:t>（1）新建预拌砂浆项目应满足绿色（清洁化）生产要求，应按照《预拌砂浆》（GB/T25181）、《预拌砂浆应用技术规程》（JGJ/T223）、《</w:t>
      </w:r>
      <w:r>
        <w:fldChar w:fldCharType="begin"/>
      </w:r>
      <w:r>
        <w:instrText xml:space="preserve"> HYPERLINK "javascript:;" </w:instrText>
      </w:r>
      <w:r>
        <w:fldChar w:fldCharType="separate"/>
      </w:r>
      <w:r>
        <w:rPr>
          <w:rFonts w:ascii="Times New Roman" w:hAnsi="Times New Roman" w:eastAsia="仿宋"/>
          <w:color w:val="000000" w:themeColor="text1"/>
          <w:sz w:val="32"/>
          <w:szCs w:val="32"/>
          <w14:textFill>
            <w14:solidFill>
              <w14:schemeClr w14:val="tx1"/>
            </w14:solidFill>
          </w14:textFill>
        </w:rPr>
        <w:t>干混砂浆生产工艺与应用技术规范</w:t>
      </w:r>
      <w:r>
        <w:rPr>
          <w:rFonts w:ascii="Times New Roman" w:hAnsi="Times New Roman" w:eastAsia="仿宋"/>
          <w:color w:val="000000" w:themeColor="text1"/>
          <w:sz w:val="32"/>
          <w:szCs w:val="32"/>
          <w14:textFill>
            <w14:solidFill>
              <w14:schemeClr w14:val="tx1"/>
            </w14:solidFill>
          </w14:textFill>
        </w:rPr>
        <w:fldChar w:fldCharType="end"/>
      </w:r>
      <w:r>
        <w:rPr>
          <w:rFonts w:ascii="Times New Roman" w:hAnsi="Times New Roman" w:eastAsia="仿宋"/>
          <w:color w:val="000000" w:themeColor="text1"/>
          <w:sz w:val="32"/>
          <w:szCs w:val="32"/>
          <w14:textFill>
            <w14:solidFill>
              <w14:schemeClr w14:val="tx1"/>
            </w14:solidFill>
          </w14:textFill>
        </w:rPr>
        <w:t>》（JC/T2089）</w:t>
      </w:r>
      <w:r>
        <w:rPr>
          <w:rFonts w:hint="eastAsia" w:ascii="Times New Roman" w:hAnsi="Times New Roman" w:eastAsia="仿宋"/>
          <w:color w:val="000000" w:themeColor="text1"/>
          <w:sz w:val="32"/>
          <w:szCs w:val="32"/>
          <w:lang w:eastAsia="zh-CN"/>
          <w14:textFill>
            <w14:solidFill>
              <w14:schemeClr w14:val="tx1"/>
            </w14:solidFill>
          </w14:textFill>
        </w:rPr>
        <w:t>、《预拌砂浆生产及应用技术规程》（DB45/T 569）、《干混砂浆生产及应用技术规程》（DB45/T 568）</w:t>
      </w:r>
      <w:r>
        <w:rPr>
          <w:rFonts w:ascii="Times New Roman" w:hAnsi="Times New Roman" w:eastAsia="仿宋"/>
          <w:color w:val="000000" w:themeColor="text1"/>
          <w:sz w:val="32"/>
          <w:szCs w:val="32"/>
          <w14:textFill>
            <w14:solidFill>
              <w14:schemeClr w14:val="tx1"/>
            </w14:solidFill>
          </w14:textFill>
        </w:rPr>
        <w:t>等相关要求进行生产线的建设。</w:t>
      </w:r>
    </w:p>
    <w:p>
      <w:pPr>
        <w:spacing w:line="360" w:lineRule="auto"/>
        <w:ind w:firstLine="640" w:firstLineChars="200"/>
        <w:rPr>
          <w:rFonts w:ascii="Times New Roman" w:hAnsi="Times New Roman" w:eastAsia="仿宋"/>
          <w:color w:val="000000" w:themeColor="text1"/>
          <w:sz w:val="32"/>
          <w:szCs w:val="32"/>
          <w14:textFill>
            <w14:solidFill>
              <w14:schemeClr w14:val="tx1"/>
            </w14:solidFill>
          </w14:textFill>
        </w:rPr>
      </w:pPr>
      <w:r>
        <w:rPr>
          <w:rFonts w:ascii="Times New Roman" w:hAnsi="Times New Roman" w:eastAsia="仿宋"/>
          <w:color w:val="000000" w:themeColor="text1"/>
          <w:sz w:val="32"/>
          <w:szCs w:val="32"/>
          <w14:textFill>
            <w14:solidFill>
              <w14:schemeClr w14:val="tx1"/>
            </w14:solidFill>
          </w14:textFill>
        </w:rPr>
        <w:t>（2）</w:t>
      </w:r>
      <w:r>
        <w:rPr>
          <w:rFonts w:hint="eastAsia" w:ascii="Times New Roman" w:hAnsi="Times New Roman" w:eastAsia="仿宋"/>
          <w:color w:val="000000" w:themeColor="text1"/>
          <w:sz w:val="32"/>
          <w:szCs w:val="32"/>
          <w14:textFill>
            <w14:solidFill>
              <w14:schemeClr w14:val="tx1"/>
            </w14:solidFill>
          </w14:textFill>
        </w:rPr>
        <w:t>布局新建预拌砂浆生产项目单条生产线规模宜大于或等于15万吨/年（湿拌砂浆的单线设计产能大于或等于10立方米/年）。</w:t>
      </w:r>
    </w:p>
    <w:p>
      <w:pPr>
        <w:spacing w:line="360" w:lineRule="auto"/>
        <w:ind w:firstLine="640" w:firstLineChars="200"/>
        <w:rPr>
          <w:rFonts w:ascii="Times New Roman" w:hAnsi="Times New Roman" w:eastAsia="仿宋"/>
          <w:color w:val="000000" w:themeColor="text1"/>
          <w:sz w:val="32"/>
          <w:szCs w:val="32"/>
          <w14:textFill>
            <w14:solidFill>
              <w14:schemeClr w14:val="tx1"/>
            </w14:solidFill>
          </w14:textFill>
        </w:rPr>
      </w:pPr>
      <w:r>
        <w:rPr>
          <w:rFonts w:ascii="Times New Roman" w:hAnsi="Times New Roman" w:eastAsia="仿宋"/>
          <w:color w:val="000000" w:themeColor="text1"/>
          <w:sz w:val="32"/>
          <w:szCs w:val="32"/>
          <w14:textFill>
            <w14:solidFill>
              <w14:schemeClr w14:val="tx1"/>
            </w14:solidFill>
          </w14:textFill>
        </w:rPr>
        <w:t>（3）规划期内，国家、自治区颁布有最新标准、规定、规章等法律法规的，</w:t>
      </w:r>
      <w:r>
        <w:rPr>
          <w:rFonts w:hint="eastAsia" w:ascii="Times New Roman" w:hAnsi="Times New Roman" w:eastAsia="仿宋"/>
          <w:color w:val="000000" w:themeColor="text1"/>
          <w:sz w:val="32"/>
          <w:szCs w:val="32"/>
          <w14:textFill>
            <w14:solidFill>
              <w14:schemeClr w14:val="tx1"/>
            </w14:solidFill>
          </w14:textFill>
        </w:rPr>
        <w:t>遵</w:t>
      </w:r>
      <w:r>
        <w:rPr>
          <w:rFonts w:ascii="Times New Roman" w:hAnsi="Times New Roman" w:eastAsia="仿宋"/>
          <w:color w:val="000000" w:themeColor="text1"/>
          <w:sz w:val="32"/>
          <w:szCs w:val="32"/>
          <w14:textFill>
            <w14:solidFill>
              <w14:schemeClr w14:val="tx1"/>
            </w14:solidFill>
          </w14:textFill>
        </w:rPr>
        <w:t>从其规定。</w:t>
      </w:r>
    </w:p>
    <w:p>
      <w:pPr>
        <w:ind w:firstLine="643" w:firstLineChars="200"/>
        <w:outlineLvl w:val="2"/>
        <w:rPr>
          <w:rFonts w:ascii="Times New Roman" w:hAnsi="Times New Roman" w:eastAsia="楷体"/>
          <w:b/>
          <w:color w:val="000000" w:themeColor="text1"/>
          <w:sz w:val="32"/>
          <w:szCs w:val="32"/>
          <w14:textFill>
            <w14:solidFill>
              <w14:schemeClr w14:val="tx1"/>
            </w14:solidFill>
          </w14:textFill>
        </w:rPr>
      </w:pPr>
      <w:r>
        <w:rPr>
          <w:rFonts w:ascii="Times New Roman" w:hAnsi="Times New Roman" w:eastAsia="楷体"/>
          <w:b/>
          <w:color w:val="000000" w:themeColor="text1"/>
          <w:sz w:val="32"/>
          <w:szCs w:val="32"/>
          <w14:textFill>
            <w14:solidFill>
              <w14:schemeClr w14:val="tx1"/>
            </w14:solidFill>
          </w14:textFill>
        </w:rPr>
        <w:t>（三）管理要求</w:t>
      </w:r>
    </w:p>
    <w:p>
      <w:pPr>
        <w:spacing w:line="360" w:lineRule="auto"/>
        <w:ind w:firstLine="640" w:firstLineChars="200"/>
        <w:rPr>
          <w:rFonts w:ascii="Times New Roman" w:hAnsi="Times New Roman" w:eastAsia="仿宋"/>
          <w:color w:val="000000" w:themeColor="text1"/>
          <w:sz w:val="32"/>
          <w:szCs w:val="32"/>
          <w14:textFill>
            <w14:solidFill>
              <w14:schemeClr w14:val="tx1"/>
            </w14:solidFill>
          </w14:textFill>
        </w:rPr>
      </w:pPr>
      <w:r>
        <w:rPr>
          <w:rFonts w:hint="eastAsia" w:ascii="Times New Roman" w:hAnsi="Times New Roman" w:eastAsia="仿宋"/>
          <w:color w:val="000000" w:themeColor="text1"/>
          <w:sz w:val="32"/>
          <w:szCs w:val="32"/>
          <w14:textFill>
            <w14:solidFill>
              <w14:schemeClr w14:val="tx1"/>
            </w14:solidFill>
          </w14:textFill>
        </w:rPr>
        <w:t>1.</w:t>
      </w:r>
      <w:r>
        <w:rPr>
          <w:rFonts w:ascii="Times New Roman" w:hAnsi="Times New Roman" w:eastAsia="仿宋"/>
          <w:color w:val="000000" w:themeColor="text1"/>
          <w:sz w:val="32"/>
          <w:szCs w:val="32"/>
          <w14:textFill>
            <w14:solidFill>
              <w14:schemeClr w14:val="tx1"/>
            </w14:solidFill>
          </w14:textFill>
        </w:rPr>
        <w:t>新建、扩建、改建、迁建的预拌混凝土（砂浆）项目，由项目建设单位报辖区工业主管部门，经市工业主管部门按照规划和控制总量等要求出具《符合规划性审查》意见书，确认通过后到有关职能部门办理相关手续。</w:t>
      </w:r>
    </w:p>
    <w:p>
      <w:pPr>
        <w:spacing w:line="360" w:lineRule="auto"/>
        <w:ind w:firstLine="640" w:firstLineChars="200"/>
        <w:rPr>
          <w:rFonts w:ascii="Times New Roman" w:hAnsi="Times New Roman" w:eastAsia="仿宋"/>
          <w:color w:val="000000" w:themeColor="text1"/>
          <w:sz w:val="32"/>
          <w:szCs w:val="32"/>
          <w14:textFill>
            <w14:solidFill>
              <w14:schemeClr w14:val="tx1"/>
            </w14:solidFill>
          </w14:textFill>
        </w:rPr>
      </w:pPr>
      <w:r>
        <w:rPr>
          <w:rFonts w:hint="eastAsia" w:ascii="Times New Roman" w:hAnsi="Times New Roman" w:eastAsia="仿宋"/>
          <w:color w:val="000000" w:themeColor="text1"/>
          <w:sz w:val="32"/>
          <w:szCs w:val="32"/>
          <w14:textFill>
            <w14:solidFill>
              <w14:schemeClr w14:val="tx1"/>
            </w14:solidFill>
          </w14:textFill>
        </w:rPr>
        <w:t>2.</w:t>
      </w:r>
      <w:r>
        <w:rPr>
          <w:rFonts w:ascii="Times New Roman" w:hAnsi="Times New Roman" w:eastAsia="仿宋"/>
          <w:color w:val="000000" w:themeColor="text1"/>
          <w:sz w:val="32"/>
          <w:szCs w:val="32"/>
          <w14:textFill>
            <w14:solidFill>
              <w14:schemeClr w14:val="tx1"/>
            </w14:solidFill>
          </w14:textFill>
        </w:rPr>
        <w:t>新建、扩建、改建、迁建的预拌混凝土（砂浆）项目，属于预拌混凝土企业的申请办理专业承包资质，属于预拌砂浆企业的申请办理备案登记。</w:t>
      </w:r>
    </w:p>
    <w:p>
      <w:pPr>
        <w:spacing w:line="360" w:lineRule="auto"/>
        <w:ind w:firstLine="640" w:firstLineChars="200"/>
        <w:rPr>
          <w:rFonts w:ascii="Times New Roman" w:hAnsi="Times New Roman" w:eastAsia="仿宋"/>
          <w:color w:val="000000" w:themeColor="text1"/>
          <w:sz w:val="32"/>
          <w:szCs w:val="32"/>
          <w14:textFill>
            <w14:solidFill>
              <w14:schemeClr w14:val="tx1"/>
            </w14:solidFill>
          </w14:textFill>
        </w:rPr>
      </w:pPr>
      <w:r>
        <w:rPr>
          <w:rFonts w:hint="eastAsia" w:ascii="Times New Roman" w:hAnsi="Times New Roman" w:eastAsia="仿宋"/>
          <w:color w:val="000000" w:themeColor="text1"/>
          <w:sz w:val="32"/>
          <w:szCs w:val="32"/>
          <w14:textFill>
            <w14:solidFill>
              <w14:schemeClr w14:val="tx1"/>
            </w14:solidFill>
          </w14:textFill>
        </w:rPr>
        <w:t>3.</w:t>
      </w:r>
      <w:r>
        <w:rPr>
          <w:rFonts w:ascii="Times New Roman" w:hAnsi="Times New Roman" w:eastAsia="仿宋"/>
          <w:color w:val="000000" w:themeColor="text1"/>
          <w:sz w:val="32"/>
          <w:szCs w:val="32"/>
          <w14:textFill>
            <w14:solidFill>
              <w14:schemeClr w14:val="tx1"/>
            </w14:solidFill>
          </w14:textFill>
        </w:rPr>
        <w:t>推行落后产能退出机制</w:t>
      </w:r>
      <w:r>
        <w:rPr>
          <w:rFonts w:hint="eastAsia" w:ascii="Times New Roman" w:hAnsi="Times New Roman" w:eastAsia="仿宋"/>
          <w:color w:val="000000" w:themeColor="text1"/>
          <w:sz w:val="32"/>
          <w:szCs w:val="32"/>
          <w14:textFill>
            <w14:solidFill>
              <w14:schemeClr w14:val="tx1"/>
            </w14:solidFill>
          </w14:textFill>
        </w:rPr>
        <w:t>。</w:t>
      </w:r>
      <w:r>
        <w:rPr>
          <w:rFonts w:ascii="Times New Roman" w:hAnsi="Times New Roman" w:eastAsia="仿宋"/>
          <w:color w:val="000000" w:themeColor="text1"/>
          <w:sz w:val="32"/>
          <w:szCs w:val="32"/>
          <w14:textFill>
            <w14:solidFill>
              <w14:schemeClr w14:val="tx1"/>
            </w14:solidFill>
          </w14:textFill>
        </w:rPr>
        <w:t>严格执行节约能源法、环境保护法、产品质量法、建设工程安全生产管理条例等法律法规，对能源消耗、污染物排放、产品质量、安全生产条件达不到相关法律法规和标准要求的预拌混凝土企业，由辖区政府组织工信、发改、住房城乡建设、自然资源、生态环境、市场监管等部门按职责依法提出限期整改的要求，对经整改仍不达标或不符合法律法规要求的，由辖区政府依法</w:t>
      </w:r>
      <w:r>
        <w:rPr>
          <w:rFonts w:hint="eastAsia" w:ascii="Times New Roman" w:hAnsi="Times New Roman" w:eastAsia="仿宋"/>
          <w:color w:val="000000" w:themeColor="text1"/>
          <w:sz w:val="32"/>
          <w:szCs w:val="32"/>
          <w14:textFill>
            <w14:solidFill>
              <w14:schemeClr w14:val="tx1"/>
            </w14:solidFill>
          </w14:textFill>
        </w:rPr>
        <w:t>处理</w:t>
      </w:r>
      <w:r>
        <w:rPr>
          <w:rFonts w:ascii="Times New Roman" w:hAnsi="Times New Roman" w:eastAsia="仿宋"/>
          <w:color w:val="000000" w:themeColor="text1"/>
          <w:sz w:val="32"/>
          <w:szCs w:val="32"/>
          <w14:textFill>
            <w14:solidFill>
              <w14:schemeClr w14:val="tx1"/>
            </w14:solidFill>
          </w14:textFill>
        </w:rPr>
        <w:t>。</w:t>
      </w:r>
    </w:p>
    <w:p>
      <w:pPr>
        <w:ind w:firstLine="643" w:firstLineChars="200"/>
        <w:outlineLvl w:val="2"/>
        <w:rPr>
          <w:rFonts w:ascii="Times New Roman" w:hAnsi="Times New Roman" w:eastAsia="仿宋"/>
          <w:b/>
          <w:bCs/>
          <w:color w:val="000000" w:themeColor="text1"/>
          <w:sz w:val="32"/>
          <w:szCs w:val="32"/>
          <w14:textFill>
            <w14:solidFill>
              <w14:schemeClr w14:val="tx1"/>
            </w14:solidFill>
          </w14:textFill>
        </w:rPr>
      </w:pPr>
      <w:bookmarkStart w:id="139" w:name="_Toc6917"/>
      <w:bookmarkStart w:id="140" w:name="_Toc16742"/>
      <w:r>
        <w:rPr>
          <w:rFonts w:hint="eastAsia" w:ascii="Times New Roman" w:hAnsi="Times New Roman" w:eastAsia="楷体"/>
          <w:b/>
          <w:color w:val="000000" w:themeColor="text1"/>
          <w:sz w:val="32"/>
          <w:szCs w:val="32"/>
          <w14:textFill>
            <w14:solidFill>
              <w14:schemeClr w14:val="tx1"/>
            </w14:solidFill>
          </w14:textFill>
        </w:rPr>
        <w:t>（四）</w:t>
      </w:r>
      <w:r>
        <w:rPr>
          <w:rFonts w:hint="eastAsia" w:ascii="Times New Roman" w:hAnsi="Times New Roman" w:eastAsia="仿宋"/>
          <w:b/>
          <w:bCs/>
          <w:color w:val="000000" w:themeColor="text1"/>
          <w:sz w:val="32"/>
          <w:szCs w:val="32"/>
          <w14:textFill>
            <w14:solidFill>
              <w14:schemeClr w14:val="tx1"/>
            </w14:solidFill>
          </w14:textFill>
        </w:rPr>
        <w:t>配套建设的临时混凝土搅拌站管理</w:t>
      </w:r>
    </w:p>
    <w:p>
      <w:pPr>
        <w:spacing w:line="360" w:lineRule="auto"/>
        <w:ind w:firstLine="640" w:firstLineChars="200"/>
        <w:rPr>
          <w:rFonts w:ascii="Times New Roman" w:hAnsi="Times New Roman" w:eastAsia="仿宋"/>
          <w:color w:val="000000" w:themeColor="text1"/>
          <w:sz w:val="32"/>
          <w:szCs w:val="32"/>
          <w14:textFill>
            <w14:solidFill>
              <w14:schemeClr w14:val="tx1"/>
            </w14:solidFill>
          </w14:textFill>
        </w:rPr>
      </w:pPr>
      <w:r>
        <w:rPr>
          <w:rFonts w:hint="eastAsia" w:ascii="Times New Roman" w:hAnsi="Times New Roman" w:eastAsia="仿宋"/>
          <w:color w:val="000000" w:themeColor="text1"/>
          <w:sz w:val="32"/>
          <w:szCs w:val="32"/>
          <w14:textFill>
            <w14:solidFill>
              <w14:schemeClr w14:val="tx1"/>
            </w14:solidFill>
          </w14:textFill>
        </w:rPr>
        <w:t>1.</w:t>
      </w:r>
      <w:r>
        <w:rPr>
          <w:rFonts w:ascii="Times New Roman" w:hAnsi="Times New Roman" w:eastAsia="仿宋"/>
          <w:color w:val="000000" w:themeColor="text1"/>
          <w:sz w:val="32"/>
          <w:szCs w:val="32"/>
          <w14:textFill>
            <w14:solidFill>
              <w14:schemeClr w14:val="tx1"/>
            </w14:solidFill>
          </w14:textFill>
        </w:rPr>
        <w:t>建设范围：自治区及</w:t>
      </w:r>
      <w:r>
        <w:rPr>
          <w:rFonts w:hint="eastAsia" w:ascii="Times New Roman" w:hAnsi="Times New Roman" w:eastAsia="仿宋"/>
          <w:color w:val="000000" w:themeColor="text1"/>
          <w:sz w:val="32"/>
          <w:szCs w:val="32"/>
          <w14:textFill>
            <w14:solidFill>
              <w14:schemeClr w14:val="tx1"/>
            </w14:solidFill>
          </w14:textFill>
        </w:rPr>
        <w:t>钦州</w:t>
      </w:r>
      <w:r>
        <w:rPr>
          <w:rFonts w:ascii="Times New Roman" w:hAnsi="Times New Roman" w:eastAsia="仿宋"/>
          <w:color w:val="000000" w:themeColor="text1"/>
          <w:sz w:val="32"/>
          <w:szCs w:val="32"/>
          <w14:textFill>
            <w14:solidFill>
              <w14:schemeClr w14:val="tx1"/>
            </w14:solidFill>
          </w14:textFill>
        </w:rPr>
        <w:t>市推进的重大项目、“双百双新”项目等具有重大经济效益和社会效益的项目，因其建设工期要求或建设工程需要，</w:t>
      </w:r>
      <w:r>
        <w:rPr>
          <w:rFonts w:hint="eastAsia" w:ascii="Times New Roman" w:hAnsi="Times New Roman" w:eastAsia="仿宋"/>
          <w:color w:val="000000" w:themeColor="text1"/>
          <w:sz w:val="32"/>
          <w:szCs w:val="32"/>
          <w:lang w:val="en-US" w:eastAsia="zh-CN"/>
          <w14:textFill>
            <w14:solidFill>
              <w14:schemeClr w14:val="tx1"/>
            </w14:solidFill>
          </w14:textFill>
        </w:rPr>
        <w:t>符合</w:t>
      </w:r>
      <w:r>
        <w:rPr>
          <w:rFonts w:ascii="Times New Roman" w:hAnsi="Times New Roman" w:eastAsia="仿宋"/>
          <w:color w:val="000000" w:themeColor="text1"/>
          <w:sz w:val="32"/>
          <w:szCs w:val="32"/>
          <w14:textFill>
            <w14:solidFill>
              <w14:schemeClr w14:val="tx1"/>
            </w14:solidFill>
          </w14:textFill>
        </w:rPr>
        <w:t>《</w:t>
      </w:r>
      <w:r>
        <w:rPr>
          <w:rFonts w:hint="default" w:ascii="Times New Roman" w:hAnsi="Times New Roman" w:eastAsia="仿宋"/>
          <w:color w:val="000000" w:themeColor="text1"/>
          <w:sz w:val="32"/>
          <w:szCs w:val="32"/>
          <w14:textFill>
            <w14:solidFill>
              <w14:schemeClr w14:val="tx1"/>
            </w14:solidFill>
          </w14:textFill>
        </w:rPr>
        <w:t>广西壮族自治区促进散装水泥发展和应用条例》</w:t>
      </w:r>
      <w:r>
        <w:rPr>
          <w:rFonts w:hint="eastAsia" w:ascii="Times New Roman" w:hAnsi="Times New Roman" w:eastAsia="仿宋"/>
          <w:color w:val="000000" w:themeColor="text1"/>
          <w:sz w:val="32"/>
          <w:szCs w:val="32"/>
          <w:lang w:val="en-US" w:eastAsia="zh-CN"/>
          <w14:textFill>
            <w14:solidFill>
              <w14:schemeClr w14:val="tx1"/>
            </w14:solidFill>
          </w14:textFill>
        </w:rPr>
        <w:t>相关要求的，</w:t>
      </w:r>
      <w:r>
        <w:rPr>
          <w:rFonts w:ascii="Times New Roman" w:hAnsi="Times New Roman" w:eastAsia="仿宋"/>
          <w:color w:val="000000" w:themeColor="text1"/>
          <w:sz w:val="32"/>
          <w:szCs w:val="32"/>
          <w14:textFill>
            <w14:solidFill>
              <w14:schemeClr w14:val="tx1"/>
            </w14:solidFill>
          </w14:textFill>
        </w:rPr>
        <w:t>在避开环境敏感点、人口稠密区、环境监测站等区域且满足生态环境保护要求的基础上，可在施工现场配套建设临时混凝土搅拌站。</w:t>
      </w:r>
    </w:p>
    <w:p>
      <w:pPr>
        <w:spacing w:line="360" w:lineRule="auto"/>
        <w:ind w:firstLine="640" w:firstLineChars="200"/>
        <w:rPr>
          <w:rFonts w:ascii="Times New Roman" w:hAnsi="Times New Roman" w:eastAsia="仿宋"/>
          <w:color w:val="000000" w:themeColor="text1"/>
          <w:sz w:val="32"/>
          <w:szCs w:val="32"/>
          <w14:textFill>
            <w14:solidFill>
              <w14:schemeClr w14:val="tx1"/>
            </w14:solidFill>
          </w14:textFill>
        </w:rPr>
      </w:pPr>
      <w:r>
        <w:rPr>
          <w:rFonts w:hint="eastAsia" w:ascii="Times New Roman" w:hAnsi="Times New Roman" w:eastAsia="仿宋"/>
          <w:color w:val="000000" w:themeColor="text1"/>
          <w:sz w:val="32"/>
          <w:szCs w:val="32"/>
          <w14:textFill>
            <w14:solidFill>
              <w14:schemeClr w14:val="tx1"/>
            </w14:solidFill>
          </w14:textFill>
        </w:rPr>
        <w:t>2.</w:t>
      </w:r>
      <w:r>
        <w:rPr>
          <w:rFonts w:ascii="Times New Roman" w:hAnsi="Times New Roman" w:eastAsia="仿宋"/>
          <w:color w:val="000000" w:themeColor="text1"/>
          <w:sz w:val="32"/>
          <w:szCs w:val="32"/>
          <w14:textFill>
            <w14:solidFill>
              <w14:schemeClr w14:val="tx1"/>
            </w14:solidFill>
          </w14:textFill>
        </w:rPr>
        <w:t>建设标准：临时混凝土搅拌站的建设和产品应满足《预拌混凝土》（GB/T14902）、《预拌混凝土企业安全生产规范》（JC/T2533）、《预拌混凝土单位产品能源消耗限额》（GB36888）、《预拌混凝土绿色生产及管理技术规程》（JGJ/T328）及其他相关的国家、行业标准要求，保障产品质量、安全及绿色生产要求</w:t>
      </w:r>
      <w:r>
        <w:rPr>
          <w:rFonts w:hint="eastAsia" w:ascii="Times New Roman" w:hAnsi="Times New Roman" w:eastAsia="仿宋"/>
          <w:color w:val="000000" w:themeColor="text1"/>
          <w:sz w:val="32"/>
          <w:szCs w:val="32"/>
          <w14:textFill>
            <w14:solidFill>
              <w14:schemeClr w14:val="tx1"/>
            </w14:solidFill>
          </w14:textFill>
        </w:rPr>
        <w:t>。</w:t>
      </w:r>
    </w:p>
    <w:p>
      <w:pPr>
        <w:pStyle w:val="2"/>
        <w:ind w:left="0" w:firstLine="640" w:firstLineChars="200"/>
        <w:rPr>
          <w:color w:val="000000" w:themeColor="text1"/>
          <w14:textFill>
            <w14:solidFill>
              <w14:schemeClr w14:val="tx1"/>
            </w14:solidFill>
          </w14:textFill>
        </w:rPr>
      </w:pPr>
      <w:r>
        <w:rPr>
          <w:rFonts w:hint="eastAsia" w:ascii="Times New Roman" w:hAnsi="Times New Roman" w:eastAsia="仿宋"/>
          <w:color w:val="000000" w:themeColor="text1"/>
          <w:sz w:val="32"/>
          <w:szCs w:val="32"/>
          <w14:textFill>
            <w14:solidFill>
              <w14:schemeClr w14:val="tx1"/>
            </w14:solidFill>
          </w14:textFill>
        </w:rPr>
        <w:t>3.对</w:t>
      </w:r>
      <w:r>
        <w:rPr>
          <w:rFonts w:ascii="Times New Roman" w:hAnsi="Times New Roman" w:eastAsia="仿宋"/>
          <w:color w:val="000000" w:themeColor="text1"/>
          <w:sz w:val="32"/>
          <w:szCs w:val="32"/>
          <w14:textFill>
            <w14:solidFill>
              <w14:schemeClr w14:val="tx1"/>
            </w14:solidFill>
          </w14:textFill>
        </w:rPr>
        <w:t>确需配套建设临时混凝土搅拌站项目的应</w:t>
      </w:r>
      <w:r>
        <w:rPr>
          <w:rFonts w:hint="eastAsia" w:ascii="Times New Roman" w:hAnsi="Times New Roman" w:eastAsia="仿宋"/>
          <w:color w:val="000000" w:themeColor="text1"/>
          <w:sz w:val="32"/>
          <w:szCs w:val="32"/>
          <w14:textFill>
            <w14:solidFill>
              <w14:schemeClr w14:val="tx1"/>
            </w14:solidFill>
          </w14:textFill>
        </w:rPr>
        <w:t>征求项目所属主管部门（住建、交通、能源、水利、港口、航道、海事等）意见</w:t>
      </w:r>
      <w:r>
        <w:rPr>
          <w:rFonts w:ascii="Times New Roman" w:hAnsi="Times New Roman" w:eastAsia="仿宋"/>
          <w:color w:val="000000" w:themeColor="text1"/>
          <w:sz w:val="32"/>
          <w:szCs w:val="32"/>
          <w14:textFill>
            <w14:solidFill>
              <w14:schemeClr w14:val="tx1"/>
            </w14:solidFill>
          </w14:textFill>
        </w:rPr>
        <w:t>，</w:t>
      </w:r>
      <w:r>
        <w:rPr>
          <w:rFonts w:hint="eastAsia" w:ascii="Times New Roman" w:hAnsi="Times New Roman" w:eastAsia="仿宋"/>
          <w:color w:val="000000" w:themeColor="text1"/>
          <w:sz w:val="32"/>
          <w:szCs w:val="32"/>
          <w14:textFill>
            <w14:solidFill>
              <w14:schemeClr w14:val="tx1"/>
            </w14:solidFill>
          </w14:textFill>
        </w:rPr>
        <w:t>然后按属地管理原则，经县（区）散装水泥主管部门核查取得建设工程现场搅拌备案后，最后报市散装水泥主管部门登记建立，</w:t>
      </w:r>
      <w:r>
        <w:rPr>
          <w:rFonts w:ascii="Times New Roman" w:hAnsi="Times New Roman" w:eastAsia="仿宋"/>
          <w:color w:val="000000" w:themeColor="text1"/>
          <w:sz w:val="32"/>
          <w:szCs w:val="32"/>
          <w14:textFill>
            <w14:solidFill>
              <w14:schemeClr w14:val="tx1"/>
            </w14:solidFill>
          </w14:textFill>
        </w:rPr>
        <w:t>以便按照施工现场要求开展建筑施工领域的监管</w:t>
      </w:r>
      <w:r>
        <w:rPr>
          <w:rFonts w:hint="eastAsia" w:ascii="Times New Roman" w:hAnsi="Times New Roman" w:eastAsia="仿宋"/>
          <w:color w:val="000000" w:themeColor="text1"/>
          <w:sz w:val="32"/>
          <w:szCs w:val="32"/>
          <w14:textFill>
            <w14:solidFill>
              <w14:schemeClr w14:val="tx1"/>
            </w14:solidFill>
          </w14:textFill>
        </w:rPr>
        <w:t>。</w:t>
      </w:r>
      <w:r>
        <w:rPr>
          <w:rFonts w:ascii="Times New Roman" w:hAnsi="Times New Roman" w:eastAsia="仿宋"/>
          <w:color w:val="000000" w:themeColor="text1"/>
          <w:sz w:val="32"/>
          <w:szCs w:val="32"/>
          <w14:textFill>
            <w14:solidFill>
              <w14:schemeClr w14:val="tx1"/>
            </w14:solidFill>
          </w14:textFill>
        </w:rPr>
        <w:t>严禁临时混凝土搅拌站向社会供应或销售混凝土</w:t>
      </w:r>
      <w:r>
        <w:rPr>
          <w:rFonts w:hint="eastAsia" w:ascii="Times New Roman" w:hAnsi="Times New Roman" w:eastAsia="仿宋"/>
          <w:color w:val="000000" w:themeColor="text1"/>
          <w:sz w:val="32"/>
          <w:szCs w:val="32"/>
          <w14:textFill>
            <w14:solidFill>
              <w14:schemeClr w14:val="tx1"/>
            </w14:solidFill>
          </w14:textFill>
        </w:rPr>
        <w:t>。</w:t>
      </w:r>
      <w:r>
        <w:rPr>
          <w:rFonts w:ascii="Times New Roman" w:hAnsi="Times New Roman" w:eastAsia="仿宋"/>
          <w:color w:val="000000" w:themeColor="text1"/>
          <w:sz w:val="32"/>
          <w:szCs w:val="32"/>
          <w14:textFill>
            <w14:solidFill>
              <w14:schemeClr w14:val="tx1"/>
            </w14:solidFill>
          </w14:textFill>
        </w:rPr>
        <w:t>项目完工后，建设单位应督促施工方自行拆除临时混凝土搅拌站；各有关部门依据法律法规按照职责对自用混凝土搅拌站进行监管</w:t>
      </w:r>
      <w:r>
        <w:rPr>
          <w:rFonts w:hint="eastAsia" w:ascii="Times New Roman" w:hAnsi="Times New Roman" w:eastAsia="仿宋"/>
          <w:color w:val="000000" w:themeColor="text1"/>
          <w:sz w:val="32"/>
          <w:szCs w:val="32"/>
          <w14:textFill>
            <w14:solidFill>
              <w14:schemeClr w14:val="tx1"/>
            </w14:solidFill>
          </w14:textFill>
        </w:rPr>
        <w:t>。</w:t>
      </w:r>
    </w:p>
    <w:p>
      <w:pPr>
        <w:ind w:firstLine="320" w:firstLineChars="100"/>
        <w:outlineLvl w:val="1"/>
        <w:rPr>
          <w:rFonts w:ascii="Times New Roman" w:hAnsi="Times New Roman" w:eastAsia="楷体"/>
          <w:color w:val="000000" w:themeColor="text1"/>
          <w:sz w:val="32"/>
          <w:szCs w:val="32"/>
          <w14:textFill>
            <w14:solidFill>
              <w14:schemeClr w14:val="tx1"/>
            </w14:solidFill>
          </w14:textFill>
        </w:rPr>
      </w:pPr>
      <w:bookmarkStart w:id="141" w:name="_Toc4462"/>
      <w:bookmarkStart w:id="142" w:name="_Toc28147"/>
      <w:r>
        <w:rPr>
          <w:rFonts w:ascii="Times New Roman" w:hAnsi="Times New Roman" w:eastAsia="黑体"/>
          <w:color w:val="000000" w:themeColor="text1"/>
          <w:kern w:val="0"/>
          <w:sz w:val="32"/>
          <w:szCs w:val="32"/>
          <w:lang w:bidi="ar"/>
          <w14:textFill>
            <w14:solidFill>
              <w14:schemeClr w14:val="tx1"/>
            </w14:solidFill>
          </w14:textFill>
        </w:rPr>
        <w:t>二、预拌混凝土布局规划</w:t>
      </w:r>
      <w:bookmarkEnd w:id="139"/>
      <w:bookmarkEnd w:id="140"/>
      <w:bookmarkEnd w:id="141"/>
      <w:bookmarkEnd w:id="142"/>
    </w:p>
    <w:p>
      <w:pPr>
        <w:ind w:firstLine="643" w:firstLineChars="200"/>
        <w:outlineLvl w:val="2"/>
        <w:rPr>
          <w:rFonts w:ascii="Times New Roman" w:hAnsi="Times New Roman" w:eastAsia="楷体"/>
          <w:b/>
          <w:color w:val="000000" w:themeColor="text1"/>
          <w:sz w:val="32"/>
          <w:szCs w:val="32"/>
          <w14:textFill>
            <w14:solidFill>
              <w14:schemeClr w14:val="tx1"/>
            </w14:solidFill>
          </w14:textFill>
        </w:rPr>
      </w:pPr>
      <w:r>
        <w:rPr>
          <w:rFonts w:ascii="Times New Roman" w:hAnsi="Times New Roman" w:eastAsia="楷体"/>
          <w:b/>
          <w:color w:val="000000" w:themeColor="text1"/>
          <w:sz w:val="32"/>
          <w:szCs w:val="32"/>
          <w14:textFill>
            <w14:solidFill>
              <w14:schemeClr w14:val="tx1"/>
            </w14:solidFill>
          </w14:textFill>
        </w:rPr>
        <w:t>（一）布局原则</w:t>
      </w:r>
    </w:p>
    <w:p>
      <w:pPr>
        <w:spacing w:line="360" w:lineRule="auto"/>
        <w:ind w:firstLine="640" w:firstLineChars="200"/>
        <w:rPr>
          <w:rFonts w:ascii="Times New Roman" w:hAnsi="Times New Roman" w:eastAsia="仿宋"/>
          <w:color w:val="000000" w:themeColor="text1"/>
          <w:sz w:val="32"/>
          <w:szCs w:val="32"/>
          <w14:textFill>
            <w14:solidFill>
              <w14:schemeClr w14:val="tx1"/>
            </w14:solidFill>
          </w14:textFill>
        </w:rPr>
      </w:pPr>
      <w:r>
        <w:rPr>
          <w:rFonts w:hint="eastAsia" w:ascii="Times New Roman" w:hAnsi="Times New Roman" w:eastAsia="仿宋"/>
          <w:color w:val="000000" w:themeColor="text1"/>
          <w:sz w:val="32"/>
          <w:szCs w:val="32"/>
          <w14:textFill>
            <w14:solidFill>
              <w14:schemeClr w14:val="tx1"/>
            </w14:solidFill>
          </w14:textFill>
        </w:rPr>
        <w:t>1.城市中心区（含市辖区、县（市）等城市规划区和周边区域），宜按30km运输距离划分片区，根据规划期预测的需求量，结合该区域现有产能和产能发挥率实际情况，按不低于40%的产能利用率进行新增产能布局</w:t>
      </w:r>
    </w:p>
    <w:p>
      <w:pPr>
        <w:spacing w:line="360" w:lineRule="auto"/>
        <w:ind w:firstLine="640" w:firstLineChars="200"/>
        <w:rPr>
          <w:rFonts w:ascii="Times New Roman" w:hAnsi="Times New Roman" w:eastAsia="仿宋"/>
          <w:color w:val="000000" w:themeColor="text1"/>
          <w:sz w:val="32"/>
          <w:szCs w:val="32"/>
          <w14:textFill>
            <w14:solidFill>
              <w14:schemeClr w14:val="tx1"/>
            </w14:solidFill>
          </w14:textFill>
        </w:rPr>
      </w:pPr>
      <w:r>
        <w:rPr>
          <w:rFonts w:hint="eastAsia" w:ascii="Times New Roman" w:hAnsi="Times New Roman" w:eastAsia="仿宋"/>
          <w:color w:val="000000" w:themeColor="text1"/>
          <w:sz w:val="32"/>
          <w:szCs w:val="32"/>
          <w14:textFill>
            <w14:solidFill>
              <w14:schemeClr w14:val="tx1"/>
            </w14:solidFill>
          </w14:textFill>
        </w:rPr>
        <w:t>2</w:t>
      </w:r>
      <w:r>
        <w:rPr>
          <w:rFonts w:ascii="Times New Roman" w:hAnsi="Times New Roman" w:eastAsia="仿宋"/>
          <w:color w:val="000000" w:themeColor="text1"/>
          <w:sz w:val="32"/>
          <w:szCs w:val="32"/>
          <w14:textFill>
            <w14:solidFill>
              <w14:schemeClr w14:val="tx1"/>
            </w14:solidFill>
          </w14:textFill>
        </w:rPr>
        <w:t>.</w:t>
      </w:r>
      <w:r>
        <w:rPr>
          <w:rFonts w:hint="eastAsia" w:ascii="Times New Roman" w:hAnsi="Times New Roman" w:eastAsia="仿宋"/>
          <w:color w:val="000000" w:themeColor="text1"/>
          <w:sz w:val="32"/>
          <w:szCs w:val="32"/>
          <w14:textFill>
            <w14:solidFill>
              <w14:schemeClr w14:val="tx1"/>
            </w14:solidFill>
          </w14:textFill>
        </w:rPr>
        <w:t>乡镇区域，宜按30km运输距离划分片区，根据规划期预测的需求量，结合该区域现有产能和产能发挥率实际情况，以预拌混凝土产能在最佳市场辐射范围内对各乡镇能充分辐射、同时保障市场的充分竞争为原则，进行新增产能布局</w:t>
      </w:r>
      <w:r>
        <w:rPr>
          <w:rFonts w:ascii="Times New Roman" w:hAnsi="Times New Roman" w:eastAsia="仿宋"/>
          <w:color w:val="000000" w:themeColor="text1"/>
          <w:sz w:val="32"/>
          <w:szCs w:val="32"/>
          <w14:textFill>
            <w14:solidFill>
              <w14:schemeClr w14:val="tx1"/>
            </w14:solidFill>
          </w14:textFill>
        </w:rPr>
        <w:t>。</w:t>
      </w:r>
    </w:p>
    <w:p>
      <w:pPr>
        <w:spacing w:line="360" w:lineRule="auto"/>
        <w:ind w:firstLine="640" w:firstLineChars="200"/>
        <w:rPr>
          <w:rFonts w:ascii="Times New Roman" w:hAnsi="Times New Roman" w:eastAsia="仿宋"/>
          <w:color w:val="000000" w:themeColor="text1"/>
          <w:sz w:val="32"/>
          <w:szCs w:val="32"/>
          <w14:textFill>
            <w14:solidFill>
              <w14:schemeClr w14:val="tx1"/>
            </w14:solidFill>
          </w14:textFill>
        </w:rPr>
      </w:pPr>
      <w:r>
        <w:rPr>
          <w:rFonts w:hint="eastAsia" w:ascii="Times New Roman" w:hAnsi="Times New Roman" w:eastAsia="仿宋"/>
          <w:color w:val="000000" w:themeColor="text1"/>
          <w:sz w:val="32"/>
          <w:szCs w:val="32"/>
          <w14:textFill>
            <w14:solidFill>
              <w14:schemeClr w14:val="tx1"/>
            </w14:solidFill>
          </w14:textFill>
        </w:rPr>
        <w:t>3</w:t>
      </w:r>
      <w:r>
        <w:rPr>
          <w:rFonts w:ascii="Times New Roman" w:hAnsi="Times New Roman" w:eastAsia="仿宋"/>
          <w:color w:val="000000" w:themeColor="text1"/>
          <w:sz w:val="32"/>
          <w:szCs w:val="32"/>
          <w14:textFill>
            <w14:solidFill>
              <w14:schemeClr w14:val="tx1"/>
            </w14:solidFill>
          </w14:textFill>
        </w:rPr>
        <w:t>.实行总量控制原则，规划期内，新增预拌混凝土站点布点位置及数量应满足规划划分的片区及总量要求，未在规划新增布点区域范围内原则上不允许新建站点。</w:t>
      </w:r>
    </w:p>
    <w:p>
      <w:pPr>
        <w:spacing w:line="360" w:lineRule="auto"/>
        <w:ind w:firstLine="640" w:firstLineChars="200"/>
        <w:rPr>
          <w:rFonts w:ascii="Times New Roman" w:hAnsi="Times New Roman" w:eastAsia="仿宋"/>
          <w:color w:val="000000" w:themeColor="text1"/>
          <w:sz w:val="32"/>
          <w:szCs w:val="32"/>
          <w14:textFill>
            <w14:solidFill>
              <w14:schemeClr w14:val="tx1"/>
            </w14:solidFill>
          </w14:textFill>
        </w:rPr>
      </w:pPr>
      <w:r>
        <w:rPr>
          <w:rFonts w:hint="eastAsia" w:ascii="Times New Roman" w:hAnsi="Times New Roman" w:eastAsia="仿宋"/>
          <w:color w:val="000000" w:themeColor="text1"/>
          <w:sz w:val="32"/>
          <w:szCs w:val="32"/>
          <w14:textFill>
            <w14:solidFill>
              <w14:schemeClr w14:val="tx1"/>
            </w14:solidFill>
          </w14:textFill>
        </w:rPr>
        <w:t>4.现有预拌混凝土站点位于“三线一单”优先保护单元内的，在规划期内，应依法逐步外迁或者关闭。</w:t>
      </w:r>
    </w:p>
    <w:p>
      <w:pPr>
        <w:spacing w:line="360" w:lineRule="auto"/>
        <w:ind w:firstLine="640" w:firstLineChars="200"/>
        <w:rPr>
          <w:rFonts w:ascii="Times New Roman" w:hAnsi="Times New Roman" w:eastAsia="仿宋"/>
          <w:color w:val="000000" w:themeColor="text1"/>
          <w:sz w:val="32"/>
          <w:szCs w:val="32"/>
          <w14:textFill>
            <w14:solidFill>
              <w14:schemeClr w14:val="tx1"/>
            </w14:solidFill>
          </w14:textFill>
        </w:rPr>
      </w:pPr>
      <w:r>
        <w:rPr>
          <w:rFonts w:hint="eastAsia" w:ascii="Times New Roman" w:hAnsi="Times New Roman" w:eastAsia="仿宋"/>
          <w:color w:val="000000" w:themeColor="text1"/>
          <w:sz w:val="32"/>
          <w:szCs w:val="32"/>
          <w14:textFill>
            <w14:solidFill>
              <w14:schemeClr w14:val="tx1"/>
            </w14:solidFill>
          </w14:textFill>
        </w:rPr>
        <w:t>4.提高行业集中度，所在划分片区内有工业园区的，应推动该片区非园区预拌混凝土站点搬迁改造至工业园区。</w:t>
      </w:r>
    </w:p>
    <w:p>
      <w:pPr>
        <w:ind w:firstLine="643" w:firstLineChars="200"/>
        <w:outlineLvl w:val="2"/>
        <w:rPr>
          <w:rFonts w:ascii="Times New Roman" w:hAnsi="Times New Roman" w:eastAsia="楷体"/>
          <w:b/>
          <w:color w:val="000000" w:themeColor="text1"/>
          <w:sz w:val="32"/>
          <w:szCs w:val="32"/>
          <w14:textFill>
            <w14:solidFill>
              <w14:schemeClr w14:val="tx1"/>
            </w14:solidFill>
          </w14:textFill>
        </w:rPr>
      </w:pPr>
      <w:r>
        <w:rPr>
          <w:rFonts w:ascii="Times New Roman" w:hAnsi="Times New Roman" w:eastAsia="楷体"/>
          <w:b/>
          <w:color w:val="000000" w:themeColor="text1"/>
          <w:sz w:val="32"/>
          <w:szCs w:val="32"/>
          <w14:textFill>
            <w14:solidFill>
              <w14:schemeClr w14:val="tx1"/>
            </w14:solidFill>
          </w14:textFill>
        </w:rPr>
        <w:t>（二）布局方案</w:t>
      </w:r>
    </w:p>
    <w:p>
      <w:pPr>
        <w:spacing w:line="360" w:lineRule="auto"/>
        <w:ind w:firstLine="640" w:firstLineChars="200"/>
        <w:rPr>
          <w:rFonts w:ascii="Times New Roman" w:hAnsi="Times New Roman" w:eastAsia="仿宋"/>
          <w:color w:val="000000" w:themeColor="text1"/>
          <w:sz w:val="32"/>
          <w:szCs w:val="32"/>
          <w14:textFill>
            <w14:solidFill>
              <w14:schemeClr w14:val="tx1"/>
            </w14:solidFill>
          </w14:textFill>
        </w:rPr>
        <w:sectPr>
          <w:pgSz w:w="11906" w:h="16838"/>
          <w:pgMar w:top="1440" w:right="1800" w:bottom="1440" w:left="1800" w:header="851" w:footer="992" w:gutter="0"/>
          <w:cols w:space="425" w:num="1"/>
          <w:docGrid w:type="lines" w:linePitch="312" w:charSpace="0"/>
        </w:sectPr>
      </w:pPr>
      <w:r>
        <w:rPr>
          <w:rFonts w:ascii="Times New Roman" w:hAnsi="Times New Roman" w:eastAsia="仿宋"/>
          <w:color w:val="000000" w:themeColor="text1"/>
          <w:sz w:val="32"/>
          <w:szCs w:val="32"/>
          <w14:textFill>
            <w14:solidFill>
              <w14:schemeClr w14:val="tx1"/>
            </w14:solidFill>
          </w14:textFill>
        </w:rPr>
        <w:t>规划期内，在现有预拌混凝土企业</w:t>
      </w:r>
      <w:r>
        <w:rPr>
          <w:rFonts w:hint="eastAsia" w:ascii="Times New Roman" w:hAnsi="Times New Roman" w:eastAsia="仿宋"/>
          <w:color w:val="000000" w:themeColor="text1"/>
          <w:sz w:val="32"/>
          <w:szCs w:val="32"/>
          <w14:textFill>
            <w14:solidFill>
              <w14:schemeClr w14:val="tx1"/>
            </w14:solidFill>
          </w14:textFill>
        </w:rPr>
        <w:t>51</w:t>
      </w:r>
      <w:r>
        <w:rPr>
          <w:rFonts w:ascii="Times New Roman" w:hAnsi="Times New Roman" w:eastAsia="仿宋"/>
          <w:color w:val="000000" w:themeColor="text1"/>
          <w:sz w:val="32"/>
          <w:szCs w:val="32"/>
          <w14:textFill>
            <w14:solidFill>
              <w14:schemeClr w14:val="tx1"/>
            </w14:solidFill>
          </w14:textFill>
        </w:rPr>
        <w:t>个基础上，全市规划增加站点总量控制在</w:t>
      </w:r>
      <w:r>
        <w:rPr>
          <w:rFonts w:hint="eastAsia" w:ascii="Times New Roman" w:hAnsi="Times New Roman" w:eastAsia="仿宋"/>
          <w:color w:val="000000" w:themeColor="text1"/>
          <w:sz w:val="32"/>
          <w:szCs w:val="32"/>
          <w14:textFill>
            <w14:solidFill>
              <w14:schemeClr w14:val="tx1"/>
            </w14:solidFill>
          </w14:textFill>
        </w:rPr>
        <w:t>16</w:t>
      </w:r>
      <w:r>
        <w:rPr>
          <w:rFonts w:ascii="Times New Roman" w:hAnsi="Times New Roman" w:eastAsia="仿宋"/>
          <w:color w:val="000000" w:themeColor="text1"/>
          <w:sz w:val="32"/>
          <w:szCs w:val="32"/>
          <w14:textFill>
            <w14:solidFill>
              <w14:schemeClr w14:val="tx1"/>
            </w14:solidFill>
          </w14:textFill>
        </w:rPr>
        <w:t>个以内，新增站点主要分布在乡镇地区，至2025年末，全市预拌混凝土企业控制在</w:t>
      </w:r>
      <w:r>
        <w:rPr>
          <w:rFonts w:hint="eastAsia" w:ascii="Times New Roman" w:hAnsi="Times New Roman" w:eastAsia="仿宋"/>
          <w:color w:val="000000" w:themeColor="text1"/>
          <w:sz w:val="32"/>
          <w:szCs w:val="32"/>
          <w14:textFill>
            <w14:solidFill>
              <w14:schemeClr w14:val="tx1"/>
            </w14:solidFill>
          </w14:textFill>
        </w:rPr>
        <w:t>67</w:t>
      </w:r>
      <w:r>
        <w:rPr>
          <w:rFonts w:ascii="Times New Roman" w:hAnsi="Times New Roman" w:eastAsia="仿宋"/>
          <w:color w:val="000000" w:themeColor="text1"/>
          <w:sz w:val="32"/>
          <w:szCs w:val="32"/>
          <w14:textFill>
            <w14:solidFill>
              <w14:schemeClr w14:val="tx1"/>
            </w14:solidFill>
          </w14:textFill>
        </w:rPr>
        <w:t>个以内。</w:t>
      </w:r>
      <w:r>
        <w:rPr>
          <w:rFonts w:hint="eastAsia" w:ascii="Times New Roman" w:hAnsi="Times New Roman" w:eastAsia="仿宋"/>
          <w:color w:val="000000" w:themeColor="text1"/>
          <w:sz w:val="32"/>
          <w:szCs w:val="32"/>
          <w14:textFill>
            <w14:solidFill>
              <w14:schemeClr w14:val="tx1"/>
            </w14:solidFill>
          </w14:textFill>
        </w:rPr>
        <w:t>其中平陆运河航道沿线站点拟布局不超过7个，灵山县2个，钦南区3个，钦北区2个。</w:t>
      </w:r>
      <w:r>
        <w:rPr>
          <w:rFonts w:ascii="Times New Roman" w:hAnsi="Times New Roman" w:eastAsia="仿宋"/>
          <w:color w:val="000000" w:themeColor="text1"/>
          <w:sz w:val="32"/>
          <w:szCs w:val="32"/>
          <w14:textFill>
            <w14:solidFill>
              <w14:schemeClr w14:val="tx1"/>
            </w14:solidFill>
          </w14:textFill>
        </w:rPr>
        <w:t>全市预拌混凝土搅拌站布点方案如表</w:t>
      </w:r>
      <w:r>
        <w:rPr>
          <w:rFonts w:hint="eastAsia" w:ascii="Times New Roman" w:hAnsi="Times New Roman" w:eastAsia="仿宋"/>
          <w:color w:val="000000" w:themeColor="text1"/>
          <w:sz w:val="32"/>
          <w:szCs w:val="32"/>
          <w14:textFill>
            <w14:solidFill>
              <w14:schemeClr w14:val="tx1"/>
            </w14:solidFill>
          </w14:textFill>
        </w:rPr>
        <w:t>4</w:t>
      </w:r>
      <w:r>
        <w:rPr>
          <w:rFonts w:ascii="Times New Roman" w:hAnsi="Times New Roman" w:eastAsia="仿宋"/>
          <w:color w:val="000000" w:themeColor="text1"/>
          <w:sz w:val="32"/>
          <w:szCs w:val="32"/>
          <w14:textFill>
            <w14:solidFill>
              <w14:schemeClr w14:val="tx1"/>
            </w14:solidFill>
          </w14:textFill>
        </w:rPr>
        <w:t>-1和图</w:t>
      </w:r>
      <w:r>
        <w:rPr>
          <w:rFonts w:hint="eastAsia" w:ascii="Times New Roman" w:hAnsi="Times New Roman" w:eastAsia="仿宋"/>
          <w:color w:val="000000" w:themeColor="text1"/>
          <w:sz w:val="32"/>
          <w:szCs w:val="32"/>
          <w14:textFill>
            <w14:solidFill>
              <w14:schemeClr w14:val="tx1"/>
            </w14:solidFill>
          </w14:textFill>
        </w:rPr>
        <w:t>4</w:t>
      </w:r>
      <w:r>
        <w:rPr>
          <w:rFonts w:ascii="Times New Roman" w:hAnsi="Times New Roman" w:eastAsia="仿宋"/>
          <w:color w:val="000000" w:themeColor="text1"/>
          <w:sz w:val="32"/>
          <w:szCs w:val="32"/>
          <w14:textFill>
            <w14:solidFill>
              <w14:schemeClr w14:val="tx1"/>
            </w14:solidFill>
          </w14:textFill>
        </w:rPr>
        <w:t>-1所示。</w:t>
      </w:r>
    </w:p>
    <w:p>
      <w:pPr>
        <w:widowControl/>
        <w:adjustRightInd w:val="0"/>
        <w:snapToGrid w:val="0"/>
        <w:spacing w:line="360" w:lineRule="auto"/>
        <w:jc w:val="center"/>
        <w:rPr>
          <w:rFonts w:ascii="Times New Roman" w:hAnsi="Times New Roman" w:eastAsia="仿宋"/>
          <w:b/>
          <w:bCs/>
          <w:color w:val="000000" w:themeColor="text1"/>
          <w:kern w:val="0"/>
          <w:sz w:val="24"/>
          <w:szCs w:val="24"/>
          <w14:textFill>
            <w14:solidFill>
              <w14:schemeClr w14:val="tx1"/>
            </w14:solidFill>
          </w14:textFill>
        </w:rPr>
      </w:pPr>
      <w:r>
        <w:rPr>
          <w:rFonts w:ascii="Times New Roman" w:hAnsi="Times New Roman" w:eastAsia="仿宋"/>
          <w:b/>
          <w:bCs/>
          <w:color w:val="000000" w:themeColor="text1"/>
          <w:kern w:val="0"/>
          <w:sz w:val="24"/>
          <w:szCs w:val="24"/>
          <w14:textFill>
            <w14:solidFill>
              <w14:schemeClr w14:val="tx1"/>
            </w14:solidFill>
          </w14:textFill>
        </w:rPr>
        <w:t>表</w:t>
      </w:r>
      <w:r>
        <w:rPr>
          <w:rFonts w:hint="eastAsia" w:ascii="Times New Roman" w:hAnsi="Times New Roman" w:eastAsia="仿宋"/>
          <w:b/>
          <w:bCs/>
          <w:color w:val="000000" w:themeColor="text1"/>
          <w:kern w:val="0"/>
          <w:sz w:val="24"/>
          <w:szCs w:val="24"/>
          <w14:textFill>
            <w14:solidFill>
              <w14:schemeClr w14:val="tx1"/>
            </w14:solidFill>
          </w14:textFill>
        </w:rPr>
        <w:t>4</w:t>
      </w:r>
      <w:r>
        <w:rPr>
          <w:rFonts w:ascii="Times New Roman" w:hAnsi="Times New Roman" w:eastAsia="仿宋"/>
          <w:b/>
          <w:bCs/>
          <w:color w:val="000000" w:themeColor="text1"/>
          <w:kern w:val="0"/>
          <w:sz w:val="24"/>
          <w:szCs w:val="24"/>
          <w14:textFill>
            <w14:solidFill>
              <w14:schemeClr w14:val="tx1"/>
            </w14:solidFill>
          </w14:textFill>
        </w:rPr>
        <w:t>-1</w:t>
      </w:r>
      <w:r>
        <w:rPr>
          <w:rFonts w:hint="eastAsia" w:ascii="Times New Roman" w:hAnsi="Times New Roman" w:eastAsia="仿宋"/>
          <w:b/>
          <w:bCs/>
          <w:color w:val="000000" w:themeColor="text1"/>
          <w:kern w:val="0"/>
          <w:sz w:val="24"/>
          <w:szCs w:val="24"/>
          <w14:textFill>
            <w14:solidFill>
              <w14:schemeClr w14:val="tx1"/>
            </w14:solidFill>
          </w14:textFill>
        </w:rPr>
        <w:t xml:space="preserve"> </w:t>
      </w:r>
      <w:r>
        <w:rPr>
          <w:rFonts w:ascii="Times New Roman" w:hAnsi="Times New Roman" w:eastAsia="仿宋"/>
          <w:b/>
          <w:bCs/>
          <w:color w:val="000000" w:themeColor="text1"/>
          <w:kern w:val="0"/>
          <w:sz w:val="24"/>
          <w:szCs w:val="24"/>
          <w14:textFill>
            <w14:solidFill>
              <w14:schemeClr w14:val="tx1"/>
            </w14:solidFill>
          </w14:textFill>
        </w:rPr>
        <w:t>钦州市预拌混凝土新增站点规划布局方案（202</w:t>
      </w:r>
      <w:r>
        <w:rPr>
          <w:rFonts w:hint="eastAsia" w:ascii="Times New Roman" w:hAnsi="Times New Roman" w:eastAsia="仿宋"/>
          <w:b/>
          <w:bCs/>
          <w:color w:val="000000" w:themeColor="text1"/>
          <w:kern w:val="0"/>
          <w:sz w:val="24"/>
          <w:szCs w:val="24"/>
          <w14:textFill>
            <w14:solidFill>
              <w14:schemeClr w14:val="tx1"/>
            </w14:solidFill>
          </w14:textFill>
        </w:rPr>
        <w:t>2</w:t>
      </w:r>
      <w:r>
        <w:rPr>
          <w:rFonts w:ascii="Times New Roman" w:hAnsi="Times New Roman" w:eastAsia="仿宋"/>
          <w:b/>
          <w:bCs/>
          <w:color w:val="000000" w:themeColor="text1"/>
          <w:kern w:val="0"/>
          <w:sz w:val="24"/>
          <w:szCs w:val="24"/>
          <w14:textFill>
            <w14:solidFill>
              <w14:schemeClr w14:val="tx1"/>
            </w14:solidFill>
          </w14:textFill>
        </w:rPr>
        <w:t>-2025年）</w:t>
      </w:r>
    </w:p>
    <w:tbl>
      <w:tblPr>
        <w:tblStyle w:val="14"/>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9"/>
        <w:gridCol w:w="1911"/>
        <w:gridCol w:w="1171"/>
        <w:gridCol w:w="1278"/>
        <w:gridCol w:w="1151"/>
        <w:gridCol w:w="1199"/>
        <w:gridCol w:w="1296"/>
        <w:gridCol w:w="1128"/>
        <w:gridCol w:w="2024"/>
        <w:gridCol w:w="22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2" w:type="pct"/>
            <w:vMerge w:val="restart"/>
            <w:vAlign w:val="center"/>
          </w:tcPr>
          <w:p>
            <w:pPr>
              <w:adjustRightInd w:val="0"/>
              <w:snapToGrid w:val="0"/>
              <w:jc w:val="center"/>
              <w:rPr>
                <w:rFonts w:ascii="Times New Roman" w:hAnsi="Times New Roman" w:eastAsia="仿宋"/>
                <w:b/>
                <w:bCs/>
                <w:color w:val="000000" w:themeColor="text1"/>
                <w:sz w:val="24"/>
                <w:szCs w:val="24"/>
                <w14:textFill>
                  <w14:solidFill>
                    <w14:schemeClr w14:val="tx1"/>
                  </w14:solidFill>
                </w14:textFill>
              </w:rPr>
            </w:pPr>
            <w:r>
              <w:rPr>
                <w:rFonts w:ascii="Times New Roman" w:hAnsi="Times New Roman" w:eastAsia="仿宋"/>
                <w:b/>
                <w:bCs/>
                <w:color w:val="000000" w:themeColor="text1"/>
                <w:sz w:val="24"/>
                <w:szCs w:val="24"/>
                <w14:textFill>
                  <w14:solidFill>
                    <w14:schemeClr w14:val="tx1"/>
                  </w14:solidFill>
                </w14:textFill>
              </w:rPr>
              <w:t>布点</w:t>
            </w:r>
          </w:p>
          <w:p>
            <w:pPr>
              <w:adjustRightInd w:val="0"/>
              <w:snapToGrid w:val="0"/>
              <w:jc w:val="center"/>
              <w:rPr>
                <w:rFonts w:ascii="Times New Roman" w:hAnsi="Times New Roman" w:eastAsia="仿宋"/>
                <w:b/>
                <w:bCs/>
                <w:color w:val="000000" w:themeColor="text1"/>
                <w:sz w:val="24"/>
                <w:szCs w:val="24"/>
                <w14:textFill>
                  <w14:solidFill>
                    <w14:schemeClr w14:val="tx1"/>
                  </w14:solidFill>
                </w14:textFill>
              </w:rPr>
            </w:pPr>
            <w:r>
              <w:rPr>
                <w:rFonts w:ascii="Times New Roman" w:hAnsi="Times New Roman" w:eastAsia="仿宋"/>
                <w:b/>
                <w:bCs/>
                <w:color w:val="000000" w:themeColor="text1"/>
                <w:sz w:val="24"/>
                <w:szCs w:val="24"/>
                <w14:textFill>
                  <w14:solidFill>
                    <w14:schemeClr w14:val="tx1"/>
                  </w14:solidFill>
                </w14:textFill>
              </w:rPr>
              <w:t>区域</w:t>
            </w:r>
          </w:p>
        </w:tc>
        <w:tc>
          <w:tcPr>
            <w:tcW w:w="674" w:type="pct"/>
            <w:vMerge w:val="restart"/>
            <w:vAlign w:val="center"/>
          </w:tcPr>
          <w:p>
            <w:pPr>
              <w:adjustRightInd w:val="0"/>
              <w:snapToGrid w:val="0"/>
              <w:jc w:val="center"/>
              <w:rPr>
                <w:rFonts w:ascii="Times New Roman" w:hAnsi="Times New Roman" w:eastAsia="仿宋"/>
                <w:b/>
                <w:bCs/>
                <w:color w:val="000000" w:themeColor="text1"/>
                <w:sz w:val="24"/>
                <w:szCs w:val="24"/>
                <w14:textFill>
                  <w14:solidFill>
                    <w14:schemeClr w14:val="tx1"/>
                  </w14:solidFill>
                </w14:textFill>
              </w:rPr>
            </w:pPr>
            <w:r>
              <w:rPr>
                <w:rFonts w:ascii="Times New Roman" w:hAnsi="Times New Roman" w:eastAsia="仿宋"/>
                <w:b/>
                <w:bCs/>
                <w:color w:val="000000" w:themeColor="text1"/>
                <w:sz w:val="24"/>
                <w:szCs w:val="24"/>
                <w14:textFill>
                  <w14:solidFill>
                    <w14:schemeClr w14:val="tx1"/>
                  </w14:solidFill>
                </w14:textFill>
              </w:rPr>
              <w:t>片区</w:t>
            </w:r>
          </w:p>
          <w:p>
            <w:pPr>
              <w:adjustRightInd w:val="0"/>
              <w:snapToGrid w:val="0"/>
              <w:jc w:val="center"/>
              <w:rPr>
                <w:rFonts w:ascii="Times New Roman" w:hAnsi="Times New Roman" w:eastAsia="仿宋"/>
                <w:b/>
                <w:bCs/>
                <w:color w:val="000000" w:themeColor="text1"/>
                <w:sz w:val="24"/>
                <w:szCs w:val="24"/>
                <w14:textFill>
                  <w14:solidFill>
                    <w14:schemeClr w14:val="tx1"/>
                  </w14:solidFill>
                </w14:textFill>
              </w:rPr>
            </w:pPr>
            <w:r>
              <w:rPr>
                <w:rFonts w:ascii="Times New Roman" w:hAnsi="Times New Roman" w:eastAsia="仿宋"/>
                <w:b/>
                <w:bCs/>
                <w:color w:val="000000" w:themeColor="text1"/>
                <w:sz w:val="24"/>
                <w:szCs w:val="24"/>
                <w14:textFill>
                  <w14:solidFill>
                    <w14:schemeClr w14:val="tx1"/>
                  </w14:solidFill>
                </w14:textFill>
              </w:rPr>
              <w:t>划分</w:t>
            </w:r>
          </w:p>
        </w:tc>
        <w:tc>
          <w:tcPr>
            <w:tcW w:w="864" w:type="pct"/>
            <w:gridSpan w:val="2"/>
            <w:vAlign w:val="center"/>
          </w:tcPr>
          <w:p>
            <w:pPr>
              <w:adjustRightInd w:val="0"/>
              <w:snapToGrid w:val="0"/>
              <w:jc w:val="center"/>
              <w:rPr>
                <w:rFonts w:ascii="Times New Roman" w:hAnsi="Times New Roman" w:eastAsia="仿宋"/>
                <w:b/>
                <w:bCs/>
                <w:color w:val="000000" w:themeColor="text1"/>
                <w:sz w:val="24"/>
                <w:szCs w:val="24"/>
                <w14:textFill>
                  <w14:solidFill>
                    <w14:schemeClr w14:val="tx1"/>
                  </w14:solidFill>
                </w14:textFill>
              </w:rPr>
            </w:pPr>
            <w:r>
              <w:rPr>
                <w:rFonts w:ascii="Times New Roman" w:hAnsi="Times New Roman" w:eastAsia="仿宋"/>
                <w:b/>
                <w:bCs/>
                <w:color w:val="000000" w:themeColor="text1"/>
                <w:sz w:val="24"/>
                <w:szCs w:val="24"/>
                <w14:textFill>
                  <w14:solidFill>
                    <w14:schemeClr w14:val="tx1"/>
                  </w14:solidFill>
                </w14:textFill>
              </w:rPr>
              <w:t>现有量</w:t>
            </w:r>
          </w:p>
        </w:tc>
        <w:tc>
          <w:tcPr>
            <w:tcW w:w="829" w:type="pct"/>
            <w:gridSpan w:val="2"/>
            <w:vAlign w:val="center"/>
          </w:tcPr>
          <w:p>
            <w:pPr>
              <w:adjustRightInd w:val="0"/>
              <w:snapToGrid w:val="0"/>
              <w:jc w:val="center"/>
              <w:rPr>
                <w:rFonts w:ascii="Times New Roman" w:hAnsi="Times New Roman" w:eastAsia="仿宋"/>
                <w:b/>
                <w:bCs/>
                <w:color w:val="000000" w:themeColor="text1"/>
                <w:sz w:val="24"/>
                <w:szCs w:val="24"/>
                <w14:textFill>
                  <w14:solidFill>
                    <w14:schemeClr w14:val="tx1"/>
                  </w14:solidFill>
                </w14:textFill>
              </w:rPr>
            </w:pPr>
            <w:r>
              <w:rPr>
                <w:rFonts w:ascii="Times New Roman" w:hAnsi="Times New Roman" w:eastAsia="仿宋"/>
                <w:b/>
                <w:bCs/>
                <w:color w:val="000000" w:themeColor="text1"/>
                <w:sz w:val="24"/>
                <w:szCs w:val="24"/>
                <w14:textFill>
                  <w14:solidFill>
                    <w14:schemeClr w14:val="tx1"/>
                  </w14:solidFill>
                </w14:textFill>
              </w:rPr>
              <w:t>规划期新增</w:t>
            </w:r>
          </w:p>
        </w:tc>
        <w:tc>
          <w:tcPr>
            <w:tcW w:w="855" w:type="pct"/>
            <w:gridSpan w:val="2"/>
            <w:vAlign w:val="center"/>
          </w:tcPr>
          <w:p>
            <w:pPr>
              <w:adjustRightInd w:val="0"/>
              <w:snapToGrid w:val="0"/>
              <w:jc w:val="center"/>
              <w:rPr>
                <w:rFonts w:ascii="Times New Roman" w:hAnsi="Times New Roman" w:eastAsia="仿宋"/>
                <w:b/>
                <w:bCs/>
                <w:color w:val="000000" w:themeColor="text1"/>
                <w:sz w:val="24"/>
                <w:szCs w:val="24"/>
                <w14:textFill>
                  <w14:solidFill>
                    <w14:schemeClr w14:val="tx1"/>
                  </w14:solidFill>
                </w14:textFill>
              </w:rPr>
            </w:pPr>
            <w:r>
              <w:rPr>
                <w:rFonts w:ascii="Times New Roman" w:hAnsi="Times New Roman" w:eastAsia="仿宋"/>
                <w:b/>
                <w:bCs/>
                <w:color w:val="000000" w:themeColor="text1"/>
                <w:sz w:val="24"/>
                <w:szCs w:val="24"/>
                <w14:textFill>
                  <w14:solidFill>
                    <w14:schemeClr w14:val="tx1"/>
                  </w14:solidFill>
                </w14:textFill>
              </w:rPr>
              <w:t>2025年控制量</w:t>
            </w:r>
          </w:p>
        </w:tc>
        <w:tc>
          <w:tcPr>
            <w:tcW w:w="714" w:type="pct"/>
            <w:vMerge w:val="restart"/>
            <w:vAlign w:val="center"/>
          </w:tcPr>
          <w:p>
            <w:pPr>
              <w:adjustRightInd w:val="0"/>
              <w:snapToGrid w:val="0"/>
              <w:jc w:val="center"/>
              <w:rPr>
                <w:rFonts w:ascii="Times New Roman" w:hAnsi="Times New Roman" w:eastAsia="仿宋"/>
                <w:b/>
                <w:bCs/>
                <w:color w:val="000000" w:themeColor="text1"/>
                <w:sz w:val="24"/>
                <w:szCs w:val="24"/>
                <w14:textFill>
                  <w14:solidFill>
                    <w14:schemeClr w14:val="tx1"/>
                  </w14:solidFill>
                </w14:textFill>
              </w:rPr>
            </w:pPr>
            <w:r>
              <w:rPr>
                <w:rFonts w:hint="eastAsia" w:ascii="Times New Roman" w:hAnsi="Times New Roman" w:eastAsia="仿宋"/>
                <w:b/>
                <w:bCs/>
                <w:color w:val="000000" w:themeColor="text1"/>
                <w:sz w:val="24"/>
                <w:szCs w:val="24"/>
                <w14:textFill>
                  <w14:solidFill>
                    <w14:schemeClr w14:val="tx1"/>
                  </w14:solidFill>
                </w14:textFill>
              </w:rPr>
              <w:t>辐射范围</w:t>
            </w:r>
          </w:p>
        </w:tc>
        <w:tc>
          <w:tcPr>
            <w:tcW w:w="778" w:type="pct"/>
            <w:vMerge w:val="restart"/>
            <w:vAlign w:val="center"/>
          </w:tcPr>
          <w:p>
            <w:pPr>
              <w:adjustRightInd w:val="0"/>
              <w:snapToGrid w:val="0"/>
              <w:jc w:val="center"/>
              <w:rPr>
                <w:rFonts w:ascii="Times New Roman" w:hAnsi="Times New Roman" w:eastAsia="仿宋"/>
                <w:b/>
                <w:bCs/>
                <w:color w:val="000000" w:themeColor="text1"/>
                <w:sz w:val="24"/>
                <w:szCs w:val="24"/>
                <w14:textFill>
                  <w14:solidFill>
                    <w14:schemeClr w14:val="tx1"/>
                  </w14:solidFill>
                </w14:textFill>
              </w:rPr>
            </w:pPr>
            <w:r>
              <w:rPr>
                <w:rFonts w:hint="eastAsia" w:ascii="Times New Roman" w:hAnsi="Times New Roman" w:eastAsia="仿宋"/>
                <w:b/>
                <w:bCs/>
                <w:color w:val="000000" w:themeColor="text1"/>
                <w:sz w:val="24"/>
                <w:szCs w:val="24"/>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2" w:type="pct"/>
            <w:vMerge w:val="continue"/>
            <w:vAlign w:val="center"/>
          </w:tcPr>
          <w:p>
            <w:pPr>
              <w:adjustRightInd w:val="0"/>
              <w:snapToGrid w:val="0"/>
              <w:jc w:val="center"/>
              <w:rPr>
                <w:rFonts w:ascii="Times New Roman" w:hAnsi="Times New Roman" w:eastAsia="仿宋"/>
                <w:b/>
                <w:bCs/>
                <w:color w:val="000000" w:themeColor="text1"/>
                <w:sz w:val="24"/>
                <w:szCs w:val="24"/>
                <w14:textFill>
                  <w14:solidFill>
                    <w14:schemeClr w14:val="tx1"/>
                  </w14:solidFill>
                </w14:textFill>
              </w:rPr>
            </w:pPr>
          </w:p>
        </w:tc>
        <w:tc>
          <w:tcPr>
            <w:tcW w:w="674" w:type="pct"/>
            <w:vMerge w:val="continue"/>
            <w:vAlign w:val="center"/>
          </w:tcPr>
          <w:p>
            <w:pPr>
              <w:adjustRightInd w:val="0"/>
              <w:snapToGrid w:val="0"/>
              <w:jc w:val="center"/>
              <w:rPr>
                <w:rFonts w:ascii="Times New Roman" w:hAnsi="Times New Roman" w:eastAsia="仿宋"/>
                <w:b/>
                <w:bCs/>
                <w:color w:val="000000" w:themeColor="text1"/>
                <w:sz w:val="24"/>
                <w:szCs w:val="24"/>
                <w14:textFill>
                  <w14:solidFill>
                    <w14:schemeClr w14:val="tx1"/>
                  </w14:solidFill>
                </w14:textFill>
              </w:rPr>
            </w:pPr>
          </w:p>
        </w:tc>
        <w:tc>
          <w:tcPr>
            <w:tcW w:w="413" w:type="pct"/>
            <w:vAlign w:val="center"/>
          </w:tcPr>
          <w:p>
            <w:pPr>
              <w:adjustRightInd w:val="0"/>
              <w:snapToGrid w:val="0"/>
              <w:jc w:val="center"/>
              <w:rPr>
                <w:rFonts w:ascii="Times New Roman" w:hAnsi="Times New Roman" w:eastAsia="仿宋"/>
                <w:b/>
                <w:bCs/>
                <w:color w:val="000000" w:themeColor="text1"/>
                <w:sz w:val="24"/>
                <w:szCs w:val="24"/>
                <w14:textFill>
                  <w14:solidFill>
                    <w14:schemeClr w14:val="tx1"/>
                  </w14:solidFill>
                </w14:textFill>
              </w:rPr>
            </w:pPr>
            <w:r>
              <w:rPr>
                <w:rFonts w:ascii="Times New Roman" w:hAnsi="Times New Roman" w:eastAsia="仿宋"/>
                <w:b/>
                <w:bCs/>
                <w:color w:val="000000" w:themeColor="text1"/>
                <w:sz w:val="24"/>
                <w:szCs w:val="24"/>
                <w14:textFill>
                  <w14:solidFill>
                    <w14:schemeClr w14:val="tx1"/>
                  </w14:solidFill>
                </w14:textFill>
              </w:rPr>
              <w:t>现有站点（个）</w:t>
            </w:r>
          </w:p>
        </w:tc>
        <w:tc>
          <w:tcPr>
            <w:tcW w:w="450" w:type="pct"/>
            <w:vAlign w:val="center"/>
          </w:tcPr>
          <w:p>
            <w:pPr>
              <w:adjustRightInd w:val="0"/>
              <w:snapToGrid w:val="0"/>
              <w:jc w:val="center"/>
              <w:rPr>
                <w:rFonts w:ascii="Times New Roman" w:hAnsi="Times New Roman" w:eastAsia="仿宋"/>
                <w:b/>
                <w:bCs/>
                <w:color w:val="000000" w:themeColor="text1"/>
                <w:sz w:val="24"/>
                <w:szCs w:val="24"/>
                <w14:textFill>
                  <w14:solidFill>
                    <w14:schemeClr w14:val="tx1"/>
                  </w14:solidFill>
                </w14:textFill>
              </w:rPr>
            </w:pPr>
            <w:r>
              <w:rPr>
                <w:rFonts w:ascii="Times New Roman" w:hAnsi="Times New Roman" w:eastAsia="仿宋"/>
                <w:b/>
                <w:bCs/>
                <w:color w:val="000000" w:themeColor="text1"/>
                <w:sz w:val="24"/>
                <w:szCs w:val="24"/>
                <w14:textFill>
                  <w14:solidFill>
                    <w14:schemeClr w14:val="tx1"/>
                  </w14:solidFill>
                </w14:textFill>
              </w:rPr>
              <w:t>现有产能</w:t>
            </w:r>
          </w:p>
          <w:p>
            <w:pPr>
              <w:adjustRightInd w:val="0"/>
              <w:snapToGrid w:val="0"/>
              <w:jc w:val="center"/>
              <w:rPr>
                <w:rFonts w:ascii="Times New Roman" w:hAnsi="Times New Roman" w:eastAsia="仿宋"/>
                <w:color w:val="000000" w:themeColor="text1"/>
                <w14:textFill>
                  <w14:solidFill>
                    <w14:schemeClr w14:val="tx1"/>
                  </w14:solidFill>
                </w14:textFill>
              </w:rPr>
            </w:pPr>
            <w:r>
              <w:rPr>
                <w:rFonts w:ascii="Times New Roman" w:hAnsi="Times New Roman" w:eastAsia="仿宋"/>
                <w:b/>
                <w:bCs/>
                <w:color w:val="000000" w:themeColor="text1"/>
                <w:sz w:val="24"/>
                <w:szCs w:val="24"/>
                <w14:textFill>
                  <w14:solidFill>
                    <w14:schemeClr w14:val="tx1"/>
                  </w14:solidFill>
                </w14:textFill>
              </w:rPr>
              <w:t>(万立方米/年)</w:t>
            </w:r>
          </w:p>
        </w:tc>
        <w:tc>
          <w:tcPr>
            <w:tcW w:w="406" w:type="pct"/>
            <w:vAlign w:val="center"/>
          </w:tcPr>
          <w:p>
            <w:pPr>
              <w:adjustRightInd w:val="0"/>
              <w:snapToGrid w:val="0"/>
              <w:jc w:val="center"/>
              <w:rPr>
                <w:rFonts w:ascii="Times New Roman" w:hAnsi="Times New Roman" w:eastAsia="仿宋"/>
                <w:b/>
                <w:bCs/>
                <w:color w:val="000000" w:themeColor="text1"/>
                <w:sz w:val="24"/>
                <w:szCs w:val="24"/>
                <w14:textFill>
                  <w14:solidFill>
                    <w14:schemeClr w14:val="tx1"/>
                  </w14:solidFill>
                </w14:textFill>
              </w:rPr>
            </w:pPr>
            <w:r>
              <w:rPr>
                <w:rFonts w:ascii="Times New Roman" w:hAnsi="Times New Roman" w:eastAsia="仿宋"/>
                <w:b/>
                <w:bCs/>
                <w:color w:val="000000" w:themeColor="text1"/>
                <w:sz w:val="24"/>
                <w:szCs w:val="24"/>
                <w14:textFill>
                  <w14:solidFill>
                    <w14:schemeClr w14:val="tx1"/>
                  </w14:solidFill>
                </w14:textFill>
              </w:rPr>
              <w:t>站点布局（个）</w:t>
            </w:r>
          </w:p>
        </w:tc>
        <w:tc>
          <w:tcPr>
            <w:tcW w:w="423" w:type="pct"/>
            <w:vAlign w:val="center"/>
          </w:tcPr>
          <w:p>
            <w:pPr>
              <w:adjustRightInd w:val="0"/>
              <w:snapToGrid w:val="0"/>
              <w:jc w:val="center"/>
              <w:rPr>
                <w:rFonts w:ascii="Times New Roman" w:hAnsi="Times New Roman" w:eastAsia="仿宋"/>
                <w:b/>
                <w:bCs/>
                <w:color w:val="000000" w:themeColor="text1"/>
                <w:sz w:val="24"/>
                <w:szCs w:val="24"/>
                <w14:textFill>
                  <w14:solidFill>
                    <w14:schemeClr w14:val="tx1"/>
                  </w14:solidFill>
                </w14:textFill>
              </w:rPr>
            </w:pPr>
            <w:r>
              <w:rPr>
                <w:rFonts w:ascii="Times New Roman" w:hAnsi="Times New Roman" w:eastAsia="仿宋"/>
                <w:b/>
                <w:bCs/>
                <w:color w:val="000000" w:themeColor="text1"/>
                <w:sz w:val="24"/>
                <w:szCs w:val="24"/>
                <w14:textFill>
                  <w14:solidFill>
                    <w14:schemeClr w14:val="tx1"/>
                  </w14:solidFill>
                </w14:textFill>
              </w:rPr>
              <w:t>新增产能</w:t>
            </w:r>
          </w:p>
          <w:p>
            <w:pPr>
              <w:adjustRightInd w:val="0"/>
              <w:snapToGrid w:val="0"/>
              <w:jc w:val="center"/>
              <w:rPr>
                <w:rFonts w:ascii="Times New Roman" w:hAnsi="Times New Roman" w:eastAsia="仿宋"/>
                <w:color w:val="000000" w:themeColor="text1"/>
                <w14:textFill>
                  <w14:solidFill>
                    <w14:schemeClr w14:val="tx1"/>
                  </w14:solidFill>
                </w14:textFill>
              </w:rPr>
            </w:pPr>
            <w:r>
              <w:rPr>
                <w:rFonts w:ascii="Times New Roman" w:hAnsi="Times New Roman" w:eastAsia="仿宋"/>
                <w:b/>
                <w:bCs/>
                <w:color w:val="000000" w:themeColor="text1"/>
                <w:sz w:val="24"/>
                <w:szCs w:val="24"/>
                <w14:textFill>
                  <w14:solidFill>
                    <w14:schemeClr w14:val="tx1"/>
                  </w14:solidFill>
                </w14:textFill>
              </w:rPr>
              <w:t>(万立方米/年)</w:t>
            </w:r>
          </w:p>
        </w:tc>
        <w:tc>
          <w:tcPr>
            <w:tcW w:w="457" w:type="pct"/>
            <w:vAlign w:val="center"/>
          </w:tcPr>
          <w:p>
            <w:pPr>
              <w:adjustRightInd w:val="0"/>
              <w:snapToGrid w:val="0"/>
              <w:jc w:val="center"/>
              <w:rPr>
                <w:rFonts w:ascii="Times New Roman" w:hAnsi="Times New Roman" w:eastAsia="仿宋"/>
                <w:b/>
                <w:bCs/>
                <w:color w:val="000000" w:themeColor="text1"/>
                <w:sz w:val="24"/>
                <w:szCs w:val="24"/>
                <w14:textFill>
                  <w14:solidFill>
                    <w14:schemeClr w14:val="tx1"/>
                  </w14:solidFill>
                </w14:textFill>
              </w:rPr>
            </w:pPr>
            <w:r>
              <w:rPr>
                <w:rFonts w:ascii="Times New Roman" w:hAnsi="Times New Roman" w:eastAsia="仿宋"/>
                <w:b/>
                <w:bCs/>
                <w:color w:val="000000" w:themeColor="text1"/>
                <w:sz w:val="24"/>
                <w:szCs w:val="24"/>
                <w14:textFill>
                  <w14:solidFill>
                    <w14:schemeClr w14:val="tx1"/>
                  </w14:solidFill>
                </w14:textFill>
              </w:rPr>
              <w:t>站点总数</w:t>
            </w:r>
          </w:p>
          <w:p>
            <w:pPr>
              <w:adjustRightInd w:val="0"/>
              <w:snapToGrid w:val="0"/>
              <w:jc w:val="center"/>
              <w:rPr>
                <w:rFonts w:ascii="Times New Roman" w:hAnsi="Times New Roman" w:eastAsia="仿宋"/>
                <w:b/>
                <w:bCs/>
                <w:color w:val="000000" w:themeColor="text1"/>
                <w:sz w:val="24"/>
                <w:szCs w:val="24"/>
                <w14:textFill>
                  <w14:solidFill>
                    <w14:schemeClr w14:val="tx1"/>
                  </w14:solidFill>
                </w14:textFill>
              </w:rPr>
            </w:pPr>
            <w:r>
              <w:rPr>
                <w:rFonts w:ascii="Times New Roman" w:hAnsi="Times New Roman" w:eastAsia="仿宋"/>
                <w:b/>
                <w:bCs/>
                <w:color w:val="000000" w:themeColor="text1"/>
                <w:sz w:val="24"/>
                <w:szCs w:val="24"/>
                <w14:textFill>
                  <w14:solidFill>
                    <w14:schemeClr w14:val="tx1"/>
                  </w14:solidFill>
                </w14:textFill>
              </w:rPr>
              <w:t>（个）</w:t>
            </w:r>
          </w:p>
        </w:tc>
        <w:tc>
          <w:tcPr>
            <w:tcW w:w="398" w:type="pct"/>
            <w:vAlign w:val="center"/>
          </w:tcPr>
          <w:p>
            <w:pPr>
              <w:adjustRightInd w:val="0"/>
              <w:snapToGrid w:val="0"/>
              <w:jc w:val="center"/>
              <w:rPr>
                <w:rFonts w:ascii="Times New Roman" w:hAnsi="Times New Roman" w:eastAsia="仿宋"/>
                <w:b/>
                <w:bCs/>
                <w:color w:val="000000" w:themeColor="text1"/>
                <w:sz w:val="24"/>
                <w:szCs w:val="24"/>
                <w14:textFill>
                  <w14:solidFill>
                    <w14:schemeClr w14:val="tx1"/>
                  </w14:solidFill>
                </w14:textFill>
              </w:rPr>
            </w:pPr>
            <w:r>
              <w:rPr>
                <w:rFonts w:ascii="Times New Roman" w:hAnsi="Times New Roman" w:eastAsia="仿宋"/>
                <w:b/>
                <w:bCs/>
                <w:color w:val="000000" w:themeColor="text1"/>
                <w:sz w:val="24"/>
                <w:szCs w:val="24"/>
                <w14:textFill>
                  <w14:solidFill>
                    <w14:schemeClr w14:val="tx1"/>
                  </w14:solidFill>
                </w14:textFill>
              </w:rPr>
              <w:t>总产能</w:t>
            </w:r>
          </w:p>
          <w:p>
            <w:pPr>
              <w:adjustRightInd w:val="0"/>
              <w:snapToGrid w:val="0"/>
              <w:jc w:val="center"/>
              <w:rPr>
                <w:rFonts w:ascii="Times New Roman" w:hAnsi="Times New Roman" w:eastAsia="仿宋"/>
                <w:b/>
                <w:bCs/>
                <w:color w:val="000000" w:themeColor="text1"/>
                <w:sz w:val="24"/>
                <w:szCs w:val="24"/>
                <w14:textFill>
                  <w14:solidFill>
                    <w14:schemeClr w14:val="tx1"/>
                  </w14:solidFill>
                </w14:textFill>
              </w:rPr>
            </w:pPr>
            <w:r>
              <w:rPr>
                <w:rFonts w:ascii="Times New Roman" w:hAnsi="Times New Roman" w:eastAsia="仿宋"/>
                <w:b/>
                <w:bCs/>
                <w:color w:val="000000" w:themeColor="text1"/>
                <w:sz w:val="24"/>
                <w:szCs w:val="24"/>
                <w14:textFill>
                  <w14:solidFill>
                    <w14:schemeClr w14:val="tx1"/>
                  </w14:solidFill>
                </w14:textFill>
              </w:rPr>
              <w:t>(万立方米/年)</w:t>
            </w:r>
          </w:p>
        </w:tc>
        <w:tc>
          <w:tcPr>
            <w:tcW w:w="714" w:type="pct"/>
            <w:vMerge w:val="continue"/>
            <w:vAlign w:val="center"/>
          </w:tcPr>
          <w:p>
            <w:pPr>
              <w:adjustRightInd w:val="0"/>
              <w:snapToGrid w:val="0"/>
              <w:jc w:val="center"/>
              <w:rPr>
                <w:rFonts w:ascii="Times New Roman" w:hAnsi="Times New Roman" w:eastAsia="仿宋"/>
                <w:b/>
                <w:bCs/>
                <w:color w:val="000000" w:themeColor="text1"/>
                <w:sz w:val="24"/>
                <w:szCs w:val="24"/>
                <w14:textFill>
                  <w14:solidFill>
                    <w14:schemeClr w14:val="tx1"/>
                  </w14:solidFill>
                </w14:textFill>
              </w:rPr>
            </w:pPr>
          </w:p>
        </w:tc>
        <w:tc>
          <w:tcPr>
            <w:tcW w:w="778" w:type="pct"/>
            <w:vMerge w:val="continue"/>
            <w:vAlign w:val="center"/>
          </w:tcPr>
          <w:p>
            <w:pPr>
              <w:adjustRightInd w:val="0"/>
              <w:snapToGrid w:val="0"/>
              <w:jc w:val="center"/>
              <w:rPr>
                <w:rFonts w:ascii="Times New Roman" w:hAnsi="Times New Roman" w:eastAsia="仿宋"/>
                <w:b/>
                <w:bCs/>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2" w:type="pct"/>
            <w:vAlign w:val="center"/>
          </w:tcPr>
          <w:p>
            <w:pPr>
              <w:adjustRightInd w:val="0"/>
              <w:snapToGrid w:val="0"/>
              <w:jc w:val="center"/>
              <w:rPr>
                <w:rFonts w:ascii="Times New Roman" w:hAnsi="Times New Roman" w:eastAsia="仿宋"/>
                <w:b/>
                <w:bCs/>
                <w:color w:val="000000" w:themeColor="text1"/>
                <w:sz w:val="24"/>
                <w:szCs w:val="24"/>
                <w14:textFill>
                  <w14:solidFill>
                    <w14:schemeClr w14:val="tx1"/>
                  </w14:solidFill>
                </w14:textFill>
              </w:rPr>
            </w:pPr>
            <w:r>
              <w:rPr>
                <w:rFonts w:ascii="Times New Roman" w:hAnsi="Times New Roman" w:eastAsia="仿宋"/>
                <w:b/>
                <w:bCs/>
                <w:color w:val="000000" w:themeColor="text1"/>
                <w:sz w:val="24"/>
                <w:szCs w:val="24"/>
                <w14:textFill>
                  <w14:solidFill>
                    <w14:schemeClr w14:val="tx1"/>
                  </w14:solidFill>
                </w14:textFill>
              </w:rPr>
              <w:t>全市</w:t>
            </w:r>
          </w:p>
          <w:p>
            <w:pPr>
              <w:adjustRightInd w:val="0"/>
              <w:snapToGrid w:val="0"/>
              <w:jc w:val="center"/>
              <w:rPr>
                <w:rFonts w:ascii="Times New Roman" w:hAnsi="Times New Roman" w:eastAsia="仿宋"/>
                <w:b/>
                <w:bCs/>
                <w:color w:val="000000" w:themeColor="text1"/>
                <w:sz w:val="24"/>
                <w:szCs w:val="24"/>
                <w14:textFill>
                  <w14:solidFill>
                    <w14:schemeClr w14:val="tx1"/>
                  </w14:solidFill>
                </w14:textFill>
              </w:rPr>
            </w:pPr>
            <w:r>
              <w:rPr>
                <w:rFonts w:ascii="Times New Roman" w:hAnsi="Times New Roman" w:eastAsia="仿宋"/>
                <w:b/>
                <w:bCs/>
                <w:color w:val="000000" w:themeColor="text1"/>
                <w:sz w:val="24"/>
                <w:szCs w:val="24"/>
                <w14:textFill>
                  <w14:solidFill>
                    <w14:schemeClr w14:val="tx1"/>
                  </w14:solidFill>
                </w14:textFill>
              </w:rPr>
              <w:t>总计</w:t>
            </w:r>
          </w:p>
        </w:tc>
        <w:tc>
          <w:tcPr>
            <w:tcW w:w="674" w:type="pct"/>
            <w:vAlign w:val="center"/>
          </w:tcPr>
          <w:p>
            <w:pPr>
              <w:adjustRightInd w:val="0"/>
              <w:snapToGrid w:val="0"/>
              <w:jc w:val="center"/>
              <w:rPr>
                <w:rFonts w:ascii="Times New Roman" w:hAnsi="Times New Roman" w:eastAsia="仿宋"/>
                <w:b/>
                <w:bCs/>
                <w:color w:val="000000" w:themeColor="text1"/>
                <w:sz w:val="28"/>
                <w:szCs w:val="28"/>
                <w14:textFill>
                  <w14:solidFill>
                    <w14:schemeClr w14:val="tx1"/>
                  </w14:solidFill>
                </w14:textFill>
              </w:rPr>
            </w:pPr>
            <w:r>
              <w:rPr>
                <w:rFonts w:ascii="Times New Roman" w:hAnsi="Times New Roman" w:eastAsia="仿宋"/>
                <w:b/>
                <w:bCs/>
                <w:color w:val="000000" w:themeColor="text1"/>
                <w:sz w:val="28"/>
                <w:szCs w:val="28"/>
                <w14:textFill>
                  <w14:solidFill>
                    <w14:schemeClr w14:val="tx1"/>
                  </w14:solidFill>
                </w14:textFill>
              </w:rPr>
              <w:t>-</w:t>
            </w:r>
          </w:p>
        </w:tc>
        <w:tc>
          <w:tcPr>
            <w:tcW w:w="413" w:type="pct"/>
            <w:tcBorders>
              <w:bottom w:val="single" w:color="auto" w:sz="4" w:space="0"/>
            </w:tcBorders>
            <w:vAlign w:val="center"/>
          </w:tcPr>
          <w:p>
            <w:pPr>
              <w:adjustRightInd w:val="0"/>
              <w:snapToGrid w:val="0"/>
              <w:jc w:val="center"/>
              <w:rPr>
                <w:rFonts w:ascii="Times New Roman" w:hAnsi="Times New Roman" w:eastAsia="仿宋"/>
                <w:b/>
                <w:bCs/>
                <w:color w:val="000000" w:themeColor="text1"/>
                <w:sz w:val="24"/>
                <w:szCs w:val="24"/>
                <w14:textFill>
                  <w14:solidFill>
                    <w14:schemeClr w14:val="tx1"/>
                  </w14:solidFill>
                </w14:textFill>
              </w:rPr>
            </w:pPr>
            <w:r>
              <w:rPr>
                <w:rFonts w:hint="eastAsia" w:ascii="Times New Roman" w:hAnsi="Times New Roman" w:eastAsia="仿宋"/>
                <w:b/>
                <w:bCs/>
                <w:color w:val="000000" w:themeColor="text1"/>
                <w:sz w:val="24"/>
                <w:szCs w:val="24"/>
                <w14:textFill>
                  <w14:solidFill>
                    <w14:schemeClr w14:val="tx1"/>
                  </w14:solidFill>
                </w14:textFill>
              </w:rPr>
              <w:t>51</w:t>
            </w:r>
          </w:p>
        </w:tc>
        <w:tc>
          <w:tcPr>
            <w:tcW w:w="450" w:type="pct"/>
            <w:tcBorders>
              <w:bottom w:val="single" w:color="auto" w:sz="4" w:space="0"/>
            </w:tcBorders>
            <w:vAlign w:val="center"/>
          </w:tcPr>
          <w:p>
            <w:pPr>
              <w:adjustRightInd w:val="0"/>
              <w:snapToGrid w:val="0"/>
              <w:jc w:val="center"/>
              <w:rPr>
                <w:rFonts w:ascii="Times New Roman" w:hAnsi="Times New Roman" w:eastAsia="仿宋"/>
                <w:b/>
                <w:bCs/>
                <w:color w:val="000000" w:themeColor="text1"/>
                <w:sz w:val="24"/>
                <w:szCs w:val="24"/>
                <w14:textFill>
                  <w14:solidFill>
                    <w14:schemeClr w14:val="tx1"/>
                  </w14:solidFill>
                </w14:textFill>
              </w:rPr>
            </w:pPr>
            <w:r>
              <w:rPr>
                <w:rFonts w:hint="eastAsia" w:ascii="Times New Roman" w:hAnsi="Times New Roman" w:eastAsia="仿宋"/>
                <w:b/>
                <w:bCs/>
                <w:color w:val="000000" w:themeColor="text1"/>
                <w:sz w:val="24"/>
                <w:szCs w:val="24"/>
                <w14:textFill>
                  <w14:solidFill>
                    <w14:schemeClr w14:val="tx1"/>
                  </w14:solidFill>
                </w14:textFill>
              </w:rPr>
              <w:t>2565</w:t>
            </w:r>
          </w:p>
        </w:tc>
        <w:tc>
          <w:tcPr>
            <w:tcW w:w="406" w:type="pct"/>
            <w:tcBorders>
              <w:bottom w:val="single" w:color="auto" w:sz="4" w:space="0"/>
            </w:tcBorders>
            <w:vAlign w:val="center"/>
          </w:tcPr>
          <w:p>
            <w:pPr>
              <w:adjustRightInd w:val="0"/>
              <w:snapToGrid w:val="0"/>
              <w:jc w:val="center"/>
              <w:rPr>
                <w:rFonts w:ascii="Times New Roman" w:hAnsi="Times New Roman" w:eastAsia="仿宋"/>
                <w:b/>
                <w:bCs/>
                <w:color w:val="000000" w:themeColor="text1"/>
                <w:sz w:val="24"/>
                <w:szCs w:val="24"/>
                <w14:textFill>
                  <w14:solidFill>
                    <w14:schemeClr w14:val="tx1"/>
                  </w14:solidFill>
                </w14:textFill>
              </w:rPr>
            </w:pPr>
            <w:r>
              <w:rPr>
                <w:rFonts w:hint="eastAsia" w:ascii="Times New Roman" w:hAnsi="Times New Roman" w:eastAsia="仿宋"/>
                <w:b/>
                <w:bCs/>
                <w:color w:val="000000" w:themeColor="text1"/>
                <w:sz w:val="24"/>
                <w:szCs w:val="24"/>
                <w14:textFill>
                  <w14:solidFill>
                    <w14:schemeClr w14:val="tx1"/>
                  </w14:solidFill>
                </w14:textFill>
              </w:rPr>
              <w:t>≤16</w:t>
            </w:r>
          </w:p>
        </w:tc>
        <w:tc>
          <w:tcPr>
            <w:tcW w:w="423" w:type="pct"/>
            <w:tcBorders>
              <w:bottom w:val="single" w:color="auto" w:sz="4" w:space="0"/>
            </w:tcBorders>
            <w:vAlign w:val="center"/>
          </w:tcPr>
          <w:p>
            <w:pPr>
              <w:adjustRightInd w:val="0"/>
              <w:snapToGrid w:val="0"/>
              <w:jc w:val="center"/>
              <w:rPr>
                <w:rFonts w:ascii="Times New Roman" w:hAnsi="Times New Roman" w:eastAsia="仿宋"/>
                <w:b/>
                <w:bCs/>
                <w:color w:val="000000" w:themeColor="text1"/>
                <w:sz w:val="24"/>
                <w:szCs w:val="24"/>
                <w14:textFill>
                  <w14:solidFill>
                    <w14:schemeClr w14:val="tx1"/>
                  </w14:solidFill>
                </w14:textFill>
              </w:rPr>
            </w:pPr>
            <w:r>
              <w:rPr>
                <w:rFonts w:hint="eastAsia" w:ascii="Times New Roman" w:hAnsi="Times New Roman" w:eastAsia="仿宋"/>
                <w:b/>
                <w:bCs/>
                <w:color w:val="000000" w:themeColor="text1"/>
                <w:sz w:val="24"/>
                <w:szCs w:val="24"/>
                <w14:textFill>
                  <w14:solidFill>
                    <w14:schemeClr w14:val="tx1"/>
                  </w14:solidFill>
                </w14:textFill>
              </w:rPr>
              <w:t>960</w:t>
            </w:r>
          </w:p>
        </w:tc>
        <w:tc>
          <w:tcPr>
            <w:tcW w:w="457" w:type="pct"/>
            <w:tcBorders>
              <w:bottom w:val="single" w:color="auto" w:sz="4" w:space="0"/>
            </w:tcBorders>
            <w:vAlign w:val="center"/>
          </w:tcPr>
          <w:p>
            <w:pPr>
              <w:adjustRightInd w:val="0"/>
              <w:snapToGrid w:val="0"/>
              <w:jc w:val="center"/>
              <w:rPr>
                <w:rFonts w:ascii="Times New Roman" w:hAnsi="Times New Roman" w:eastAsia="仿宋"/>
                <w:b/>
                <w:bCs/>
                <w:color w:val="000000" w:themeColor="text1"/>
                <w:sz w:val="24"/>
                <w:szCs w:val="24"/>
                <w14:textFill>
                  <w14:solidFill>
                    <w14:schemeClr w14:val="tx1"/>
                  </w14:solidFill>
                </w14:textFill>
              </w:rPr>
            </w:pPr>
            <w:r>
              <w:rPr>
                <w:rFonts w:hint="eastAsia" w:ascii="Times New Roman" w:hAnsi="Times New Roman" w:eastAsia="仿宋"/>
                <w:b/>
                <w:bCs/>
                <w:color w:val="000000" w:themeColor="text1"/>
                <w:sz w:val="24"/>
                <w:szCs w:val="24"/>
                <w14:textFill>
                  <w14:solidFill>
                    <w14:schemeClr w14:val="tx1"/>
                  </w14:solidFill>
                </w14:textFill>
              </w:rPr>
              <w:t>67</w:t>
            </w:r>
          </w:p>
        </w:tc>
        <w:tc>
          <w:tcPr>
            <w:tcW w:w="398" w:type="pct"/>
            <w:tcBorders>
              <w:bottom w:val="single" w:color="auto" w:sz="4" w:space="0"/>
            </w:tcBorders>
            <w:vAlign w:val="center"/>
          </w:tcPr>
          <w:p>
            <w:pPr>
              <w:adjustRightInd w:val="0"/>
              <w:snapToGrid w:val="0"/>
              <w:jc w:val="center"/>
              <w:rPr>
                <w:rFonts w:ascii="Times New Roman" w:hAnsi="Times New Roman" w:eastAsia="仿宋"/>
                <w:b/>
                <w:bCs/>
                <w:color w:val="000000" w:themeColor="text1"/>
                <w:sz w:val="24"/>
                <w:szCs w:val="24"/>
                <w14:textFill>
                  <w14:solidFill>
                    <w14:schemeClr w14:val="tx1"/>
                  </w14:solidFill>
                </w14:textFill>
              </w:rPr>
            </w:pPr>
            <w:r>
              <w:rPr>
                <w:rFonts w:hint="eastAsia" w:ascii="Times New Roman" w:hAnsi="Times New Roman" w:eastAsia="仿宋"/>
                <w:b/>
                <w:bCs/>
                <w:color w:val="000000" w:themeColor="text1"/>
                <w:sz w:val="24"/>
                <w:szCs w:val="24"/>
                <w14:textFill>
                  <w14:solidFill>
                    <w14:schemeClr w14:val="tx1"/>
                  </w14:solidFill>
                </w14:textFill>
              </w:rPr>
              <w:t>3525</w:t>
            </w:r>
          </w:p>
        </w:tc>
        <w:tc>
          <w:tcPr>
            <w:tcW w:w="714" w:type="pct"/>
            <w:vAlign w:val="center"/>
          </w:tcPr>
          <w:p>
            <w:pPr>
              <w:adjustRightInd w:val="0"/>
              <w:snapToGrid w:val="0"/>
              <w:jc w:val="center"/>
              <w:rPr>
                <w:rFonts w:ascii="Times New Roman" w:hAnsi="Times New Roman" w:eastAsia="仿宋"/>
                <w:b/>
                <w:bCs/>
                <w:color w:val="000000" w:themeColor="text1"/>
                <w:sz w:val="24"/>
                <w:szCs w:val="24"/>
                <w14:textFill>
                  <w14:solidFill>
                    <w14:schemeClr w14:val="tx1"/>
                  </w14:solidFill>
                </w14:textFill>
              </w:rPr>
            </w:pPr>
            <w:r>
              <w:rPr>
                <w:rFonts w:ascii="Times New Roman" w:hAnsi="Times New Roman" w:eastAsia="仿宋"/>
                <w:b/>
                <w:bCs/>
                <w:color w:val="000000" w:themeColor="text1"/>
                <w:sz w:val="24"/>
                <w:szCs w:val="24"/>
                <w14:textFill>
                  <w14:solidFill>
                    <w14:schemeClr w14:val="tx1"/>
                  </w14:solidFill>
                </w14:textFill>
              </w:rPr>
              <w:t>-</w:t>
            </w:r>
          </w:p>
        </w:tc>
        <w:tc>
          <w:tcPr>
            <w:tcW w:w="778" w:type="pct"/>
            <w:vAlign w:val="center"/>
          </w:tcPr>
          <w:p>
            <w:pPr>
              <w:adjustRightInd w:val="0"/>
              <w:snapToGrid w:val="0"/>
              <w:jc w:val="center"/>
              <w:rPr>
                <w:rFonts w:ascii="Times New Roman" w:hAnsi="Times New Roman" w:eastAsia="仿宋"/>
                <w:b/>
                <w:bCs/>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2" w:type="pct"/>
            <w:vMerge w:val="restart"/>
            <w:tcBorders>
              <w:top w:val="single" w:color="auto" w:sz="4" w:space="0"/>
              <w:left w:val="single" w:color="auto" w:sz="4" w:space="0"/>
              <w:right w:val="single" w:color="auto" w:sz="4" w:space="0"/>
            </w:tcBorders>
            <w:vAlign w:val="center"/>
          </w:tcPr>
          <w:p>
            <w:pPr>
              <w:adjustRightInd w:val="0"/>
              <w:snapToGrid w:val="0"/>
              <w:jc w:val="center"/>
              <w:rPr>
                <w:color w:val="000000" w:themeColor="text1"/>
                <w14:textFill>
                  <w14:solidFill>
                    <w14:schemeClr w14:val="tx1"/>
                  </w14:solidFill>
                </w14:textFill>
              </w:rPr>
            </w:pPr>
            <w:r>
              <w:rPr>
                <w:rFonts w:hint="eastAsia" w:ascii="Times New Roman" w:hAnsi="Times New Roman" w:eastAsia="仿宋"/>
                <w:b/>
                <w:bCs/>
                <w:color w:val="000000" w:themeColor="text1"/>
                <w:sz w:val="24"/>
                <w:szCs w:val="24"/>
                <w14:textFill>
                  <w14:solidFill>
                    <w14:schemeClr w14:val="tx1"/>
                  </w14:solidFill>
                </w14:textFill>
              </w:rPr>
              <w:t>灵山县</w:t>
            </w:r>
          </w:p>
        </w:tc>
        <w:tc>
          <w:tcPr>
            <w:tcW w:w="674"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县城片区</w:t>
            </w:r>
          </w:p>
        </w:tc>
        <w:tc>
          <w:tcPr>
            <w:tcW w:w="413"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7</w:t>
            </w:r>
          </w:p>
        </w:tc>
        <w:tc>
          <w:tcPr>
            <w:tcW w:w="450"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370</w:t>
            </w:r>
          </w:p>
        </w:tc>
        <w:tc>
          <w:tcPr>
            <w:tcW w:w="406"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仿宋"/>
                <w:b/>
                <w:bCs/>
                <w:color w:val="000000" w:themeColor="text1"/>
                <w:sz w:val="24"/>
                <w:szCs w:val="24"/>
                <w14:textFill>
                  <w14:solidFill>
                    <w14:schemeClr w14:val="tx1"/>
                  </w14:solidFill>
                </w14:textFill>
              </w:rPr>
            </w:pPr>
            <w:r>
              <w:rPr>
                <w:rFonts w:ascii="Times New Roman" w:hAnsi="Times New Roman" w:eastAsia="仿宋"/>
                <w:b/>
                <w:bCs/>
                <w:color w:val="000000" w:themeColor="text1"/>
                <w:sz w:val="24"/>
                <w:szCs w:val="24"/>
                <w14:textFill>
                  <w14:solidFill>
                    <w14:schemeClr w14:val="tx1"/>
                  </w14:solidFill>
                </w14:textFill>
              </w:rPr>
              <w:t>0</w:t>
            </w:r>
          </w:p>
        </w:tc>
        <w:tc>
          <w:tcPr>
            <w:tcW w:w="423"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仿宋"/>
                <w:b/>
                <w:bCs/>
                <w:color w:val="000000" w:themeColor="text1"/>
                <w:sz w:val="24"/>
                <w:szCs w:val="24"/>
                <w14:textFill>
                  <w14:solidFill>
                    <w14:schemeClr w14:val="tx1"/>
                  </w14:solidFill>
                </w14:textFill>
              </w:rPr>
            </w:pPr>
            <w:r>
              <w:rPr>
                <w:rFonts w:ascii="Times New Roman" w:hAnsi="Times New Roman" w:eastAsia="仿宋"/>
                <w:b/>
                <w:bCs/>
                <w:color w:val="000000" w:themeColor="text1"/>
                <w:sz w:val="24"/>
                <w:szCs w:val="24"/>
                <w14:textFill>
                  <w14:solidFill>
                    <w14:schemeClr w14:val="tx1"/>
                  </w14:solidFill>
                </w14:textFill>
              </w:rPr>
              <w:t>0</w:t>
            </w:r>
          </w:p>
        </w:tc>
        <w:tc>
          <w:tcPr>
            <w:tcW w:w="457"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7</w:t>
            </w:r>
          </w:p>
        </w:tc>
        <w:tc>
          <w:tcPr>
            <w:tcW w:w="398"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370</w:t>
            </w:r>
          </w:p>
        </w:tc>
        <w:tc>
          <w:tcPr>
            <w:tcW w:w="714" w:type="pct"/>
            <w:tcBorders>
              <w:top w:val="single" w:color="auto" w:sz="4" w:space="0"/>
              <w:left w:val="single" w:color="auto" w:sz="4" w:space="0"/>
              <w:bottom w:val="single" w:color="auto" w:sz="4" w:space="0"/>
              <w:right w:val="single" w:color="auto" w:sz="4" w:space="0"/>
            </w:tcBorders>
            <w:vAlign w:val="center"/>
          </w:tcPr>
          <w:p>
            <w:pPr>
              <w:adjustRightInd w:val="0"/>
              <w:snapToGrid w:val="0"/>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街道：三海、灵山。乡镇：佛子、新圩、檀圩、平南</w:t>
            </w:r>
          </w:p>
        </w:tc>
        <w:tc>
          <w:tcPr>
            <w:tcW w:w="778" w:type="pct"/>
            <w:tcBorders>
              <w:top w:val="single" w:color="auto" w:sz="4" w:space="0"/>
              <w:left w:val="single" w:color="auto" w:sz="4" w:space="0"/>
              <w:bottom w:val="single" w:color="auto" w:sz="4" w:space="0"/>
              <w:right w:val="single" w:color="auto" w:sz="4" w:space="0"/>
            </w:tcBorders>
            <w:vAlign w:val="center"/>
          </w:tcPr>
          <w:p>
            <w:pPr>
              <w:adjustRightInd w:val="0"/>
              <w:snapToGrid w:val="0"/>
              <w:rPr>
                <w:rFonts w:ascii="Times New Roman" w:hAnsi="Times New Roman" w:eastAsia="仿宋"/>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2" w:type="pct"/>
            <w:vMerge w:val="continue"/>
            <w:tcBorders>
              <w:left w:val="single" w:color="auto" w:sz="4" w:space="0"/>
              <w:right w:val="single" w:color="auto" w:sz="4" w:space="0"/>
            </w:tcBorders>
            <w:vAlign w:val="center"/>
          </w:tcPr>
          <w:p>
            <w:pPr>
              <w:adjustRightInd w:val="0"/>
              <w:snapToGrid w:val="0"/>
              <w:jc w:val="center"/>
              <w:rPr>
                <w:rFonts w:ascii="Times New Roman" w:hAnsi="Times New Roman" w:eastAsia="仿宋"/>
                <w:color w:val="000000" w:themeColor="text1"/>
                <w:sz w:val="22"/>
                <w14:textFill>
                  <w14:solidFill>
                    <w14:schemeClr w14:val="tx1"/>
                  </w14:solidFill>
                </w14:textFill>
              </w:rPr>
            </w:pPr>
          </w:p>
        </w:tc>
        <w:tc>
          <w:tcPr>
            <w:tcW w:w="674"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西部片区</w:t>
            </w:r>
          </w:p>
        </w:tc>
        <w:tc>
          <w:tcPr>
            <w:tcW w:w="413"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5</w:t>
            </w:r>
          </w:p>
        </w:tc>
        <w:tc>
          <w:tcPr>
            <w:tcW w:w="450"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180</w:t>
            </w:r>
          </w:p>
        </w:tc>
        <w:tc>
          <w:tcPr>
            <w:tcW w:w="406"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仿宋"/>
                <w:b/>
                <w:bCs/>
                <w:color w:val="000000" w:themeColor="text1"/>
                <w:sz w:val="24"/>
                <w:szCs w:val="24"/>
                <w14:textFill>
                  <w14:solidFill>
                    <w14:schemeClr w14:val="tx1"/>
                  </w14:solidFill>
                </w14:textFill>
              </w:rPr>
            </w:pPr>
            <w:r>
              <w:rPr>
                <w:rFonts w:hint="eastAsia" w:ascii="Times New Roman" w:hAnsi="Times New Roman" w:eastAsia="仿宋"/>
                <w:b/>
                <w:bCs/>
                <w:color w:val="000000" w:themeColor="text1"/>
                <w:sz w:val="24"/>
                <w:szCs w:val="24"/>
                <w14:textFill>
                  <w14:solidFill>
                    <w14:schemeClr w14:val="tx1"/>
                  </w14:solidFill>
                </w14:textFill>
              </w:rPr>
              <w:t>≤2</w:t>
            </w:r>
          </w:p>
        </w:tc>
        <w:tc>
          <w:tcPr>
            <w:tcW w:w="423"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仿宋"/>
                <w:b/>
                <w:bCs/>
                <w:color w:val="000000" w:themeColor="text1"/>
                <w:sz w:val="24"/>
                <w:szCs w:val="24"/>
                <w14:textFill>
                  <w14:solidFill>
                    <w14:schemeClr w14:val="tx1"/>
                  </w14:solidFill>
                </w14:textFill>
              </w:rPr>
            </w:pPr>
            <w:r>
              <w:rPr>
                <w:rFonts w:hint="eastAsia" w:ascii="Times New Roman" w:hAnsi="Times New Roman" w:eastAsia="仿宋"/>
                <w:b/>
                <w:bCs/>
                <w:color w:val="000000" w:themeColor="text1"/>
                <w:sz w:val="24"/>
                <w:szCs w:val="24"/>
                <w14:textFill>
                  <w14:solidFill>
                    <w14:schemeClr w14:val="tx1"/>
                  </w14:solidFill>
                </w14:textFill>
              </w:rPr>
              <w:t>120</w:t>
            </w:r>
          </w:p>
        </w:tc>
        <w:tc>
          <w:tcPr>
            <w:tcW w:w="457"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7</w:t>
            </w:r>
          </w:p>
        </w:tc>
        <w:tc>
          <w:tcPr>
            <w:tcW w:w="398"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300</w:t>
            </w:r>
          </w:p>
        </w:tc>
        <w:tc>
          <w:tcPr>
            <w:tcW w:w="714" w:type="pct"/>
            <w:tcBorders>
              <w:top w:val="single" w:color="auto" w:sz="4" w:space="0"/>
              <w:left w:val="single" w:color="auto" w:sz="4" w:space="0"/>
              <w:bottom w:val="single" w:color="auto" w:sz="4" w:space="0"/>
              <w:right w:val="single" w:color="auto" w:sz="4" w:space="0"/>
            </w:tcBorders>
            <w:vAlign w:val="center"/>
          </w:tcPr>
          <w:p>
            <w:pPr>
              <w:adjustRightInd w:val="0"/>
              <w:snapToGrid w:val="0"/>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太平、陆屋、沙坪、旧州、三隆、那隆、烟墩</w:t>
            </w:r>
          </w:p>
        </w:tc>
        <w:tc>
          <w:tcPr>
            <w:tcW w:w="778" w:type="pct"/>
            <w:tcBorders>
              <w:top w:val="single" w:color="auto" w:sz="4" w:space="0"/>
              <w:left w:val="single" w:color="auto" w:sz="4" w:space="0"/>
              <w:bottom w:val="single" w:color="auto" w:sz="4" w:space="0"/>
              <w:right w:val="single" w:color="auto" w:sz="4" w:space="0"/>
            </w:tcBorders>
            <w:vAlign w:val="center"/>
          </w:tcPr>
          <w:p>
            <w:pPr>
              <w:adjustRightInd w:val="0"/>
              <w:snapToGrid w:val="0"/>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14:textFill>
                  <w14:solidFill>
                    <w14:schemeClr w14:val="tx1"/>
                  </w14:solidFill>
                </w14:textFill>
              </w:rPr>
              <w:t>新增站点布局在平陆运河航道分水岭段（陆屋、沙坪、旧州镇周边）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2" w:type="pct"/>
            <w:vMerge w:val="continue"/>
            <w:tcBorders>
              <w:left w:val="single" w:color="auto" w:sz="4" w:space="0"/>
              <w:right w:val="single" w:color="auto" w:sz="4" w:space="0"/>
            </w:tcBorders>
            <w:vAlign w:val="center"/>
          </w:tcPr>
          <w:p>
            <w:pPr>
              <w:adjustRightInd w:val="0"/>
              <w:snapToGrid w:val="0"/>
              <w:jc w:val="center"/>
              <w:rPr>
                <w:rFonts w:ascii="Times New Roman" w:hAnsi="Times New Roman" w:eastAsia="仿宋"/>
                <w:color w:val="000000" w:themeColor="text1"/>
                <w:sz w:val="22"/>
                <w14:textFill>
                  <w14:solidFill>
                    <w14:schemeClr w14:val="tx1"/>
                  </w14:solidFill>
                </w14:textFill>
              </w:rPr>
            </w:pPr>
          </w:p>
        </w:tc>
        <w:tc>
          <w:tcPr>
            <w:tcW w:w="674"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南部片区</w:t>
            </w:r>
          </w:p>
        </w:tc>
        <w:tc>
          <w:tcPr>
            <w:tcW w:w="413"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2</w:t>
            </w:r>
          </w:p>
        </w:tc>
        <w:tc>
          <w:tcPr>
            <w:tcW w:w="450"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90</w:t>
            </w:r>
          </w:p>
        </w:tc>
        <w:tc>
          <w:tcPr>
            <w:tcW w:w="406"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仿宋"/>
                <w:b/>
                <w:bCs/>
                <w:color w:val="000000" w:themeColor="text1"/>
                <w:sz w:val="24"/>
                <w:szCs w:val="24"/>
                <w14:textFill>
                  <w14:solidFill>
                    <w14:schemeClr w14:val="tx1"/>
                  </w14:solidFill>
                </w14:textFill>
              </w:rPr>
            </w:pPr>
            <w:r>
              <w:rPr>
                <w:rFonts w:ascii="Times New Roman" w:hAnsi="Times New Roman" w:eastAsia="仿宋"/>
                <w:b/>
                <w:bCs/>
                <w:color w:val="000000" w:themeColor="text1"/>
                <w:sz w:val="24"/>
                <w:szCs w:val="24"/>
                <w14:textFill>
                  <w14:solidFill>
                    <w14:schemeClr w14:val="tx1"/>
                  </w14:solidFill>
                </w14:textFill>
              </w:rPr>
              <w:t>0</w:t>
            </w:r>
          </w:p>
        </w:tc>
        <w:tc>
          <w:tcPr>
            <w:tcW w:w="423"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仿宋"/>
                <w:b/>
                <w:bCs/>
                <w:color w:val="000000" w:themeColor="text1"/>
                <w:sz w:val="24"/>
                <w:szCs w:val="24"/>
                <w14:textFill>
                  <w14:solidFill>
                    <w14:schemeClr w14:val="tx1"/>
                  </w14:solidFill>
                </w14:textFill>
              </w:rPr>
            </w:pPr>
            <w:r>
              <w:rPr>
                <w:rFonts w:ascii="Times New Roman" w:hAnsi="Times New Roman" w:eastAsia="仿宋"/>
                <w:b/>
                <w:bCs/>
                <w:color w:val="000000" w:themeColor="text1"/>
                <w:sz w:val="24"/>
                <w:szCs w:val="24"/>
                <w14:textFill>
                  <w14:solidFill>
                    <w14:schemeClr w14:val="tx1"/>
                  </w14:solidFill>
                </w14:textFill>
              </w:rPr>
              <w:t>0</w:t>
            </w:r>
          </w:p>
        </w:tc>
        <w:tc>
          <w:tcPr>
            <w:tcW w:w="457"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2</w:t>
            </w:r>
          </w:p>
        </w:tc>
        <w:tc>
          <w:tcPr>
            <w:tcW w:w="398"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90</w:t>
            </w:r>
          </w:p>
        </w:tc>
        <w:tc>
          <w:tcPr>
            <w:tcW w:w="714" w:type="pct"/>
            <w:tcBorders>
              <w:top w:val="single" w:color="auto" w:sz="4" w:space="0"/>
              <w:left w:val="single" w:color="auto" w:sz="4" w:space="0"/>
              <w:bottom w:val="single" w:color="auto" w:sz="4" w:space="0"/>
              <w:right w:val="single" w:color="auto" w:sz="4" w:space="0"/>
            </w:tcBorders>
            <w:vAlign w:val="center"/>
          </w:tcPr>
          <w:p>
            <w:pPr>
              <w:adjustRightInd w:val="0"/>
              <w:snapToGrid w:val="0"/>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武利、伯劳、文利</w:t>
            </w:r>
          </w:p>
        </w:tc>
        <w:tc>
          <w:tcPr>
            <w:tcW w:w="778" w:type="pct"/>
            <w:tcBorders>
              <w:top w:val="single" w:color="auto" w:sz="4" w:space="0"/>
              <w:left w:val="single" w:color="auto" w:sz="4" w:space="0"/>
              <w:bottom w:val="single" w:color="auto" w:sz="4" w:space="0"/>
              <w:right w:val="single" w:color="auto" w:sz="4" w:space="0"/>
            </w:tcBorders>
            <w:vAlign w:val="center"/>
          </w:tcPr>
          <w:p>
            <w:pPr>
              <w:adjustRightInd w:val="0"/>
              <w:snapToGrid w:val="0"/>
              <w:rPr>
                <w:rFonts w:ascii="Times New Roman" w:hAnsi="Times New Roman" w:eastAsia="仿宋"/>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2" w:type="pct"/>
            <w:vMerge w:val="continue"/>
            <w:tcBorders>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仿宋"/>
                <w:color w:val="000000" w:themeColor="text1"/>
                <w:sz w:val="22"/>
                <w14:textFill>
                  <w14:solidFill>
                    <w14:schemeClr w14:val="tx1"/>
                  </w14:solidFill>
                </w14:textFill>
              </w:rPr>
            </w:pPr>
          </w:p>
        </w:tc>
        <w:tc>
          <w:tcPr>
            <w:tcW w:w="674"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东部片区</w:t>
            </w:r>
          </w:p>
        </w:tc>
        <w:tc>
          <w:tcPr>
            <w:tcW w:w="413"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1</w:t>
            </w:r>
          </w:p>
        </w:tc>
        <w:tc>
          <w:tcPr>
            <w:tcW w:w="450"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20</w:t>
            </w:r>
          </w:p>
        </w:tc>
        <w:tc>
          <w:tcPr>
            <w:tcW w:w="406"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仿宋"/>
                <w:b/>
                <w:bCs/>
                <w:color w:val="000000" w:themeColor="text1"/>
                <w:sz w:val="24"/>
                <w:szCs w:val="24"/>
                <w14:textFill>
                  <w14:solidFill>
                    <w14:schemeClr w14:val="tx1"/>
                  </w14:solidFill>
                </w14:textFill>
              </w:rPr>
            </w:pPr>
            <w:r>
              <w:rPr>
                <w:rFonts w:hint="eastAsia" w:ascii="Times New Roman" w:hAnsi="Times New Roman" w:eastAsia="仿宋"/>
                <w:b/>
                <w:bCs/>
                <w:color w:val="000000" w:themeColor="text1"/>
                <w:sz w:val="24"/>
                <w:szCs w:val="24"/>
                <w14:textFill>
                  <w14:solidFill>
                    <w14:schemeClr w14:val="tx1"/>
                  </w14:solidFill>
                </w14:textFill>
              </w:rPr>
              <w:t>1</w:t>
            </w:r>
          </w:p>
        </w:tc>
        <w:tc>
          <w:tcPr>
            <w:tcW w:w="423"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仿宋"/>
                <w:b/>
                <w:bCs/>
                <w:color w:val="000000" w:themeColor="text1"/>
                <w:sz w:val="24"/>
                <w:szCs w:val="24"/>
                <w14:textFill>
                  <w14:solidFill>
                    <w14:schemeClr w14:val="tx1"/>
                  </w14:solidFill>
                </w14:textFill>
              </w:rPr>
            </w:pPr>
            <w:r>
              <w:rPr>
                <w:rFonts w:hint="eastAsia" w:ascii="Times New Roman" w:hAnsi="Times New Roman" w:eastAsia="仿宋"/>
                <w:b/>
                <w:bCs/>
                <w:color w:val="000000" w:themeColor="text1"/>
                <w:sz w:val="24"/>
                <w:szCs w:val="24"/>
                <w14:textFill>
                  <w14:solidFill>
                    <w14:schemeClr w14:val="tx1"/>
                  </w14:solidFill>
                </w14:textFill>
              </w:rPr>
              <w:t>60</w:t>
            </w:r>
          </w:p>
        </w:tc>
        <w:tc>
          <w:tcPr>
            <w:tcW w:w="457"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2</w:t>
            </w:r>
          </w:p>
        </w:tc>
        <w:tc>
          <w:tcPr>
            <w:tcW w:w="398"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80</w:t>
            </w:r>
          </w:p>
        </w:tc>
        <w:tc>
          <w:tcPr>
            <w:tcW w:w="714" w:type="pct"/>
            <w:tcBorders>
              <w:top w:val="single" w:color="auto" w:sz="4" w:space="0"/>
              <w:left w:val="single" w:color="auto" w:sz="4" w:space="0"/>
              <w:bottom w:val="single" w:color="auto" w:sz="4" w:space="0"/>
              <w:right w:val="single" w:color="auto" w:sz="4" w:space="0"/>
            </w:tcBorders>
            <w:vAlign w:val="center"/>
          </w:tcPr>
          <w:p>
            <w:pPr>
              <w:adjustRightInd w:val="0"/>
              <w:snapToGrid w:val="0"/>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石塘、丰塘、平山</w:t>
            </w:r>
          </w:p>
        </w:tc>
        <w:tc>
          <w:tcPr>
            <w:tcW w:w="778" w:type="pct"/>
            <w:tcBorders>
              <w:top w:val="single" w:color="auto" w:sz="4" w:space="0"/>
              <w:left w:val="single" w:color="auto" w:sz="4" w:space="0"/>
              <w:bottom w:val="single" w:color="auto" w:sz="4" w:space="0"/>
              <w:right w:val="single" w:color="auto" w:sz="4" w:space="0"/>
            </w:tcBorders>
            <w:vAlign w:val="center"/>
          </w:tcPr>
          <w:p>
            <w:pPr>
              <w:adjustRightInd w:val="0"/>
              <w:snapToGrid w:val="0"/>
              <w:rPr>
                <w:rFonts w:ascii="Times New Roman" w:hAnsi="Times New Roman" w:eastAsia="仿宋"/>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2" w:type="pct"/>
            <w:vMerge w:val="restart"/>
            <w:tcBorders>
              <w:left w:val="single" w:color="auto" w:sz="4" w:space="0"/>
              <w:right w:val="single" w:color="auto" w:sz="4" w:space="0"/>
            </w:tcBorders>
            <w:vAlign w:val="center"/>
          </w:tcPr>
          <w:p>
            <w:pPr>
              <w:adjustRightInd w:val="0"/>
              <w:snapToGrid w:val="0"/>
              <w:jc w:val="center"/>
              <w:rPr>
                <w:rFonts w:ascii="Times New Roman" w:hAnsi="Times New Roman" w:eastAsia="仿宋"/>
                <w:color w:val="000000" w:themeColor="text1"/>
                <w:sz w:val="22"/>
                <w14:textFill>
                  <w14:solidFill>
                    <w14:schemeClr w14:val="tx1"/>
                  </w14:solidFill>
                </w14:textFill>
              </w:rPr>
            </w:pPr>
            <w:r>
              <w:rPr>
                <w:rFonts w:hint="eastAsia" w:ascii="Times New Roman" w:hAnsi="Times New Roman" w:eastAsia="仿宋"/>
                <w:b/>
                <w:bCs/>
                <w:color w:val="000000" w:themeColor="text1"/>
                <w:sz w:val="24"/>
                <w:szCs w:val="24"/>
                <w14:textFill>
                  <w14:solidFill>
                    <w14:schemeClr w14:val="tx1"/>
                  </w14:solidFill>
                </w14:textFill>
              </w:rPr>
              <w:t>浦北县</w:t>
            </w:r>
          </w:p>
        </w:tc>
        <w:tc>
          <w:tcPr>
            <w:tcW w:w="674"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仿宋"/>
                <w:color w:val="FF0000"/>
              </w:rPr>
            </w:pPr>
            <w:r>
              <w:rPr>
                <w:rFonts w:hint="eastAsia" w:ascii="Times New Roman" w:hAnsi="Times New Roman" w:eastAsia="仿宋"/>
                <w:color w:val="FF0000"/>
                <w:sz w:val="24"/>
                <w:szCs w:val="24"/>
              </w:rPr>
              <w:t>北部片区1</w:t>
            </w:r>
          </w:p>
        </w:tc>
        <w:tc>
          <w:tcPr>
            <w:tcW w:w="413"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仿宋"/>
                <w:color w:val="FF0000"/>
                <w:sz w:val="24"/>
                <w:szCs w:val="24"/>
              </w:rPr>
            </w:pPr>
            <w:r>
              <w:rPr>
                <w:rFonts w:ascii="Times New Roman" w:hAnsi="Times New Roman" w:eastAsia="仿宋"/>
                <w:color w:val="FF0000"/>
                <w:sz w:val="24"/>
                <w:szCs w:val="24"/>
              </w:rPr>
              <w:t>0</w:t>
            </w:r>
          </w:p>
        </w:tc>
        <w:tc>
          <w:tcPr>
            <w:tcW w:w="450"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仿宋"/>
                <w:color w:val="FF0000"/>
                <w:sz w:val="24"/>
                <w:szCs w:val="24"/>
              </w:rPr>
            </w:pPr>
            <w:r>
              <w:rPr>
                <w:rFonts w:ascii="Times New Roman" w:hAnsi="Times New Roman" w:eastAsia="仿宋"/>
                <w:color w:val="FF0000"/>
                <w:sz w:val="24"/>
                <w:szCs w:val="24"/>
              </w:rPr>
              <w:t>0</w:t>
            </w:r>
          </w:p>
        </w:tc>
        <w:tc>
          <w:tcPr>
            <w:tcW w:w="406"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仿宋"/>
                <w:b/>
                <w:bCs/>
                <w:color w:val="FF0000"/>
                <w:sz w:val="24"/>
                <w:szCs w:val="24"/>
              </w:rPr>
            </w:pPr>
            <w:r>
              <w:rPr>
                <w:rFonts w:hint="eastAsia" w:ascii="Times New Roman" w:hAnsi="Times New Roman" w:eastAsia="仿宋"/>
                <w:b/>
                <w:bCs/>
                <w:color w:val="FF0000"/>
                <w:sz w:val="24"/>
                <w:szCs w:val="24"/>
              </w:rPr>
              <w:t>≤2</w:t>
            </w:r>
          </w:p>
        </w:tc>
        <w:tc>
          <w:tcPr>
            <w:tcW w:w="423"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仿宋"/>
                <w:b/>
                <w:bCs/>
                <w:color w:val="FF0000"/>
                <w:sz w:val="24"/>
                <w:szCs w:val="24"/>
              </w:rPr>
            </w:pPr>
            <w:r>
              <w:rPr>
                <w:rFonts w:hint="eastAsia" w:ascii="Times New Roman" w:hAnsi="Times New Roman" w:eastAsia="仿宋"/>
                <w:b/>
                <w:bCs/>
                <w:color w:val="FF0000"/>
                <w:sz w:val="24"/>
                <w:szCs w:val="24"/>
              </w:rPr>
              <w:t>120</w:t>
            </w:r>
          </w:p>
        </w:tc>
        <w:tc>
          <w:tcPr>
            <w:tcW w:w="457"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仿宋"/>
                <w:color w:val="FF0000"/>
                <w:sz w:val="24"/>
                <w:szCs w:val="24"/>
              </w:rPr>
            </w:pPr>
            <w:r>
              <w:rPr>
                <w:rFonts w:hint="eastAsia" w:ascii="Times New Roman" w:hAnsi="Times New Roman" w:eastAsia="仿宋"/>
                <w:color w:val="FF0000"/>
                <w:sz w:val="24"/>
                <w:szCs w:val="24"/>
              </w:rPr>
              <w:t>2</w:t>
            </w:r>
          </w:p>
        </w:tc>
        <w:tc>
          <w:tcPr>
            <w:tcW w:w="398"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仿宋"/>
                <w:color w:val="FF0000"/>
                <w:sz w:val="24"/>
                <w:szCs w:val="24"/>
              </w:rPr>
            </w:pPr>
            <w:r>
              <w:rPr>
                <w:rFonts w:hint="eastAsia" w:ascii="Times New Roman" w:hAnsi="Times New Roman" w:eastAsia="仿宋"/>
                <w:color w:val="FF0000"/>
                <w:sz w:val="24"/>
                <w:szCs w:val="24"/>
              </w:rPr>
              <w:t>120</w:t>
            </w:r>
          </w:p>
        </w:tc>
        <w:tc>
          <w:tcPr>
            <w:tcW w:w="714" w:type="pct"/>
            <w:tcBorders>
              <w:top w:val="single" w:color="auto" w:sz="4" w:space="0"/>
              <w:left w:val="single" w:color="auto" w:sz="4" w:space="0"/>
              <w:bottom w:val="single" w:color="auto" w:sz="4" w:space="0"/>
              <w:right w:val="single" w:color="auto" w:sz="4" w:space="0"/>
            </w:tcBorders>
            <w:vAlign w:val="center"/>
          </w:tcPr>
          <w:p>
            <w:pPr>
              <w:adjustRightInd w:val="0"/>
              <w:snapToGrid w:val="0"/>
              <w:rPr>
                <w:rFonts w:ascii="Times New Roman" w:hAnsi="Times New Roman" w:eastAsia="仿宋"/>
                <w:color w:val="FF0000"/>
                <w:sz w:val="24"/>
                <w:szCs w:val="24"/>
              </w:rPr>
            </w:pPr>
            <w:r>
              <w:rPr>
                <w:rFonts w:hint="eastAsia" w:ascii="Times New Roman" w:hAnsi="Times New Roman" w:eastAsia="仿宋"/>
                <w:color w:val="FF0000"/>
                <w:sz w:val="24"/>
                <w:szCs w:val="24"/>
              </w:rPr>
              <w:t>官垌、平睦、六硍</w:t>
            </w:r>
          </w:p>
        </w:tc>
        <w:tc>
          <w:tcPr>
            <w:tcW w:w="778" w:type="pct"/>
            <w:tcBorders>
              <w:top w:val="single" w:color="auto" w:sz="4" w:space="0"/>
              <w:left w:val="single" w:color="auto" w:sz="4" w:space="0"/>
              <w:bottom w:val="single" w:color="auto" w:sz="4" w:space="0"/>
              <w:right w:val="single" w:color="auto" w:sz="4" w:space="0"/>
            </w:tcBorders>
            <w:vAlign w:val="center"/>
          </w:tcPr>
          <w:p>
            <w:pPr>
              <w:adjustRightInd w:val="0"/>
              <w:snapToGrid w:val="0"/>
              <w:rPr>
                <w:rFonts w:ascii="Times New Roman" w:hAnsi="Times New Roman" w:eastAsia="仿宋"/>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2" w:type="pct"/>
            <w:vMerge w:val="continue"/>
            <w:tcBorders>
              <w:left w:val="single" w:color="auto" w:sz="4" w:space="0"/>
              <w:right w:val="single" w:color="auto" w:sz="4" w:space="0"/>
            </w:tcBorders>
            <w:vAlign w:val="center"/>
          </w:tcPr>
          <w:p>
            <w:pPr>
              <w:adjustRightInd w:val="0"/>
              <w:snapToGrid w:val="0"/>
              <w:jc w:val="center"/>
              <w:rPr>
                <w:rFonts w:ascii="Times New Roman" w:hAnsi="Times New Roman" w:eastAsia="仿宋"/>
                <w:b/>
                <w:bCs/>
                <w:color w:val="000000" w:themeColor="text1"/>
                <w:sz w:val="24"/>
                <w:szCs w:val="24"/>
                <w14:textFill>
                  <w14:solidFill>
                    <w14:schemeClr w14:val="tx1"/>
                  </w14:solidFill>
                </w14:textFill>
              </w:rPr>
            </w:pPr>
          </w:p>
        </w:tc>
        <w:tc>
          <w:tcPr>
            <w:tcW w:w="674"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仿宋"/>
                <w:color w:val="FF0000"/>
                <w:sz w:val="24"/>
                <w:szCs w:val="24"/>
              </w:rPr>
            </w:pPr>
            <w:r>
              <w:rPr>
                <w:rFonts w:hint="eastAsia" w:ascii="Times New Roman" w:hAnsi="Times New Roman" w:eastAsia="仿宋"/>
                <w:color w:val="FF0000"/>
                <w:sz w:val="24"/>
                <w:szCs w:val="24"/>
              </w:rPr>
              <w:t>北部片区2</w:t>
            </w:r>
          </w:p>
        </w:tc>
        <w:tc>
          <w:tcPr>
            <w:tcW w:w="413"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仿宋"/>
                <w:color w:val="FF0000"/>
                <w:sz w:val="24"/>
                <w:szCs w:val="24"/>
              </w:rPr>
            </w:pPr>
            <w:r>
              <w:rPr>
                <w:rFonts w:hint="eastAsia" w:ascii="Times New Roman" w:hAnsi="Times New Roman" w:eastAsia="仿宋"/>
                <w:color w:val="FF0000"/>
                <w:sz w:val="24"/>
                <w:szCs w:val="24"/>
              </w:rPr>
              <w:t>3</w:t>
            </w:r>
          </w:p>
        </w:tc>
        <w:tc>
          <w:tcPr>
            <w:tcW w:w="450"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仿宋"/>
                <w:color w:val="FF0000"/>
                <w:sz w:val="24"/>
                <w:szCs w:val="24"/>
              </w:rPr>
            </w:pPr>
            <w:r>
              <w:rPr>
                <w:rFonts w:hint="eastAsia" w:ascii="Times New Roman" w:hAnsi="Times New Roman" w:eastAsia="仿宋"/>
                <w:color w:val="FF0000"/>
                <w:sz w:val="24"/>
                <w:szCs w:val="24"/>
              </w:rPr>
              <w:t>60</w:t>
            </w:r>
          </w:p>
        </w:tc>
        <w:tc>
          <w:tcPr>
            <w:tcW w:w="406"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仿宋"/>
                <w:b/>
                <w:bCs/>
                <w:color w:val="FF0000"/>
                <w:sz w:val="24"/>
                <w:szCs w:val="24"/>
              </w:rPr>
            </w:pPr>
            <w:r>
              <w:rPr>
                <w:rFonts w:hint="eastAsia" w:ascii="Times New Roman" w:hAnsi="Times New Roman" w:eastAsia="仿宋"/>
                <w:b/>
                <w:bCs/>
                <w:color w:val="FF0000"/>
                <w:sz w:val="24"/>
                <w:szCs w:val="24"/>
              </w:rPr>
              <w:t>0</w:t>
            </w:r>
          </w:p>
        </w:tc>
        <w:tc>
          <w:tcPr>
            <w:tcW w:w="423"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仿宋"/>
                <w:b/>
                <w:bCs/>
                <w:color w:val="FF0000"/>
                <w:sz w:val="24"/>
                <w:szCs w:val="24"/>
              </w:rPr>
            </w:pPr>
            <w:r>
              <w:rPr>
                <w:rFonts w:hint="eastAsia" w:ascii="Times New Roman" w:hAnsi="Times New Roman" w:eastAsia="仿宋"/>
                <w:b/>
                <w:bCs/>
                <w:color w:val="FF0000"/>
                <w:sz w:val="24"/>
                <w:szCs w:val="24"/>
              </w:rPr>
              <w:t>0</w:t>
            </w:r>
          </w:p>
        </w:tc>
        <w:tc>
          <w:tcPr>
            <w:tcW w:w="457"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仿宋"/>
                <w:color w:val="FF0000"/>
                <w:sz w:val="24"/>
                <w:szCs w:val="24"/>
              </w:rPr>
            </w:pPr>
            <w:r>
              <w:rPr>
                <w:rFonts w:hint="eastAsia" w:ascii="Times New Roman" w:hAnsi="Times New Roman" w:eastAsia="仿宋"/>
                <w:color w:val="FF0000"/>
                <w:sz w:val="24"/>
                <w:szCs w:val="24"/>
              </w:rPr>
              <w:t>3</w:t>
            </w:r>
          </w:p>
        </w:tc>
        <w:tc>
          <w:tcPr>
            <w:tcW w:w="398"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仿宋"/>
                <w:color w:val="FF0000"/>
                <w:sz w:val="24"/>
                <w:szCs w:val="24"/>
              </w:rPr>
            </w:pPr>
            <w:r>
              <w:rPr>
                <w:rFonts w:hint="eastAsia" w:ascii="Times New Roman" w:hAnsi="Times New Roman" w:eastAsia="仿宋"/>
                <w:color w:val="FF0000"/>
                <w:sz w:val="24"/>
                <w:szCs w:val="24"/>
              </w:rPr>
              <w:t>60</w:t>
            </w:r>
          </w:p>
        </w:tc>
        <w:tc>
          <w:tcPr>
            <w:tcW w:w="714" w:type="pct"/>
            <w:tcBorders>
              <w:top w:val="single" w:color="auto" w:sz="4" w:space="0"/>
              <w:left w:val="single" w:color="auto" w:sz="4" w:space="0"/>
              <w:bottom w:val="single" w:color="auto" w:sz="4" w:space="0"/>
              <w:right w:val="single" w:color="auto" w:sz="4" w:space="0"/>
            </w:tcBorders>
            <w:vAlign w:val="center"/>
          </w:tcPr>
          <w:p>
            <w:pPr>
              <w:adjustRightInd w:val="0"/>
              <w:snapToGrid w:val="0"/>
              <w:rPr>
                <w:rFonts w:ascii="Times New Roman" w:hAnsi="Times New Roman" w:eastAsia="仿宋"/>
                <w:color w:val="FF0000"/>
                <w:sz w:val="24"/>
                <w:szCs w:val="24"/>
              </w:rPr>
            </w:pPr>
            <w:r>
              <w:rPr>
                <w:rFonts w:hint="eastAsia" w:ascii="Times New Roman" w:hAnsi="Times New Roman" w:eastAsia="仿宋"/>
                <w:color w:val="FF0000"/>
                <w:sz w:val="24"/>
                <w:szCs w:val="24"/>
              </w:rPr>
              <w:t>乐民、寨圩</w:t>
            </w:r>
          </w:p>
        </w:tc>
        <w:tc>
          <w:tcPr>
            <w:tcW w:w="778" w:type="pct"/>
            <w:tcBorders>
              <w:top w:val="single" w:color="auto" w:sz="4" w:space="0"/>
              <w:left w:val="single" w:color="auto" w:sz="4" w:space="0"/>
              <w:bottom w:val="single" w:color="auto" w:sz="4" w:space="0"/>
              <w:right w:val="single" w:color="auto" w:sz="4" w:space="0"/>
            </w:tcBorders>
            <w:vAlign w:val="center"/>
          </w:tcPr>
          <w:p>
            <w:pPr>
              <w:adjustRightInd w:val="0"/>
              <w:snapToGrid w:val="0"/>
              <w:rPr>
                <w:rFonts w:ascii="Times New Roman" w:hAnsi="Times New Roman" w:eastAsia="仿宋"/>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2" w:type="pct"/>
            <w:vMerge w:val="continue"/>
            <w:tcBorders>
              <w:left w:val="single" w:color="auto" w:sz="4" w:space="0"/>
              <w:right w:val="single" w:color="auto" w:sz="4" w:space="0"/>
            </w:tcBorders>
            <w:vAlign w:val="center"/>
          </w:tcPr>
          <w:p>
            <w:pPr>
              <w:adjustRightInd w:val="0"/>
              <w:snapToGrid w:val="0"/>
              <w:jc w:val="center"/>
              <w:rPr>
                <w:rFonts w:ascii="Times New Roman" w:hAnsi="Times New Roman" w:eastAsia="仿宋"/>
                <w:color w:val="000000" w:themeColor="text1"/>
                <w:sz w:val="22"/>
                <w14:textFill>
                  <w14:solidFill>
                    <w14:schemeClr w14:val="tx1"/>
                  </w14:solidFill>
                </w14:textFill>
              </w:rPr>
            </w:pPr>
          </w:p>
        </w:tc>
        <w:tc>
          <w:tcPr>
            <w:tcW w:w="674"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仿宋"/>
                <w:color w:val="FF0000"/>
              </w:rPr>
            </w:pPr>
            <w:r>
              <w:rPr>
                <w:rFonts w:hint="eastAsia" w:ascii="Times New Roman" w:hAnsi="Times New Roman" w:eastAsia="仿宋"/>
                <w:color w:val="FF0000"/>
                <w:sz w:val="24"/>
                <w:szCs w:val="24"/>
              </w:rPr>
              <w:t>中部片区</w:t>
            </w:r>
          </w:p>
        </w:tc>
        <w:tc>
          <w:tcPr>
            <w:tcW w:w="413"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仿宋"/>
                <w:color w:val="FF0000"/>
                <w:sz w:val="24"/>
                <w:szCs w:val="24"/>
              </w:rPr>
            </w:pPr>
            <w:r>
              <w:rPr>
                <w:rFonts w:hint="eastAsia" w:ascii="Times New Roman" w:hAnsi="Times New Roman" w:eastAsia="仿宋"/>
                <w:color w:val="FF0000"/>
                <w:sz w:val="24"/>
                <w:szCs w:val="24"/>
              </w:rPr>
              <w:t>6</w:t>
            </w:r>
          </w:p>
        </w:tc>
        <w:tc>
          <w:tcPr>
            <w:tcW w:w="450"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仿宋"/>
                <w:color w:val="FF0000"/>
                <w:sz w:val="24"/>
                <w:szCs w:val="24"/>
              </w:rPr>
            </w:pPr>
            <w:r>
              <w:rPr>
                <w:rFonts w:hint="eastAsia" w:ascii="Times New Roman" w:hAnsi="Times New Roman" w:eastAsia="仿宋"/>
                <w:color w:val="FF0000"/>
                <w:sz w:val="24"/>
                <w:szCs w:val="24"/>
              </w:rPr>
              <w:t>190</w:t>
            </w:r>
          </w:p>
        </w:tc>
        <w:tc>
          <w:tcPr>
            <w:tcW w:w="406"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仿宋"/>
                <w:b/>
                <w:bCs/>
                <w:color w:val="FF0000"/>
                <w:sz w:val="24"/>
                <w:szCs w:val="24"/>
              </w:rPr>
            </w:pPr>
            <w:r>
              <w:rPr>
                <w:rFonts w:ascii="Times New Roman" w:hAnsi="Times New Roman" w:eastAsia="仿宋"/>
                <w:b/>
                <w:bCs/>
                <w:color w:val="FF0000"/>
                <w:sz w:val="24"/>
                <w:szCs w:val="24"/>
              </w:rPr>
              <w:t>0</w:t>
            </w:r>
          </w:p>
        </w:tc>
        <w:tc>
          <w:tcPr>
            <w:tcW w:w="423"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仿宋"/>
                <w:b/>
                <w:bCs/>
                <w:color w:val="FF0000"/>
                <w:sz w:val="24"/>
                <w:szCs w:val="24"/>
              </w:rPr>
            </w:pPr>
            <w:r>
              <w:rPr>
                <w:rFonts w:ascii="Times New Roman" w:hAnsi="Times New Roman" w:eastAsia="仿宋"/>
                <w:b/>
                <w:bCs/>
                <w:color w:val="FF0000"/>
                <w:sz w:val="24"/>
                <w:szCs w:val="24"/>
              </w:rPr>
              <w:t>0</w:t>
            </w:r>
          </w:p>
        </w:tc>
        <w:tc>
          <w:tcPr>
            <w:tcW w:w="457"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仿宋"/>
                <w:color w:val="FF0000"/>
                <w:sz w:val="24"/>
                <w:szCs w:val="24"/>
              </w:rPr>
            </w:pPr>
            <w:r>
              <w:rPr>
                <w:rFonts w:hint="eastAsia" w:ascii="Times New Roman" w:hAnsi="Times New Roman" w:eastAsia="仿宋"/>
                <w:color w:val="FF0000"/>
                <w:sz w:val="24"/>
                <w:szCs w:val="24"/>
              </w:rPr>
              <w:t>6</w:t>
            </w:r>
          </w:p>
        </w:tc>
        <w:tc>
          <w:tcPr>
            <w:tcW w:w="398"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仿宋"/>
                <w:color w:val="FF0000"/>
                <w:sz w:val="24"/>
                <w:szCs w:val="24"/>
              </w:rPr>
            </w:pPr>
            <w:r>
              <w:rPr>
                <w:rFonts w:hint="eastAsia" w:ascii="Times New Roman" w:hAnsi="Times New Roman" w:eastAsia="仿宋"/>
                <w:color w:val="FF0000"/>
                <w:sz w:val="24"/>
                <w:szCs w:val="24"/>
              </w:rPr>
              <w:t>190</w:t>
            </w:r>
          </w:p>
        </w:tc>
        <w:tc>
          <w:tcPr>
            <w:tcW w:w="714" w:type="pct"/>
            <w:tcBorders>
              <w:top w:val="single" w:color="auto" w:sz="4" w:space="0"/>
              <w:left w:val="single" w:color="auto" w:sz="4" w:space="0"/>
              <w:bottom w:val="single" w:color="auto" w:sz="4" w:space="0"/>
              <w:right w:val="single" w:color="auto" w:sz="4" w:space="0"/>
            </w:tcBorders>
            <w:vAlign w:val="center"/>
          </w:tcPr>
          <w:p>
            <w:pPr>
              <w:adjustRightInd w:val="0"/>
              <w:snapToGrid w:val="0"/>
              <w:rPr>
                <w:rFonts w:ascii="Times New Roman" w:hAnsi="Times New Roman" w:eastAsia="仿宋"/>
                <w:color w:val="FF0000"/>
                <w:sz w:val="24"/>
                <w:szCs w:val="24"/>
              </w:rPr>
            </w:pPr>
            <w:r>
              <w:rPr>
                <w:rFonts w:hint="eastAsia" w:ascii="Times New Roman" w:hAnsi="Times New Roman" w:eastAsia="仿宋"/>
                <w:color w:val="FF0000"/>
                <w:sz w:val="24"/>
                <w:szCs w:val="24"/>
              </w:rPr>
              <w:t>街道：小江、江城。乡镇：福旺、三合、龙门、北通</w:t>
            </w:r>
          </w:p>
        </w:tc>
        <w:tc>
          <w:tcPr>
            <w:tcW w:w="778" w:type="pct"/>
            <w:tcBorders>
              <w:top w:val="single" w:color="auto" w:sz="4" w:space="0"/>
              <w:left w:val="single" w:color="auto" w:sz="4" w:space="0"/>
              <w:bottom w:val="single" w:color="auto" w:sz="4" w:space="0"/>
              <w:right w:val="single" w:color="auto" w:sz="4" w:space="0"/>
            </w:tcBorders>
            <w:vAlign w:val="center"/>
          </w:tcPr>
          <w:p>
            <w:pPr>
              <w:adjustRightInd w:val="0"/>
              <w:snapToGrid w:val="0"/>
              <w:rPr>
                <w:rFonts w:ascii="Times New Roman" w:hAnsi="Times New Roman" w:eastAsia="仿宋"/>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2" w:type="pct"/>
            <w:vMerge w:val="continue"/>
            <w:tcBorders>
              <w:left w:val="single" w:color="auto" w:sz="4" w:space="0"/>
              <w:right w:val="single" w:color="auto" w:sz="4" w:space="0"/>
            </w:tcBorders>
            <w:vAlign w:val="center"/>
          </w:tcPr>
          <w:p>
            <w:pPr>
              <w:adjustRightInd w:val="0"/>
              <w:snapToGrid w:val="0"/>
              <w:jc w:val="center"/>
              <w:rPr>
                <w:rFonts w:ascii="Times New Roman" w:hAnsi="Times New Roman" w:eastAsia="仿宋"/>
                <w:color w:val="000000" w:themeColor="text1"/>
                <w:sz w:val="22"/>
                <w14:textFill>
                  <w14:solidFill>
                    <w14:schemeClr w14:val="tx1"/>
                  </w14:solidFill>
                </w14:textFill>
              </w:rPr>
            </w:pPr>
          </w:p>
        </w:tc>
        <w:tc>
          <w:tcPr>
            <w:tcW w:w="674"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南部片区</w:t>
            </w:r>
          </w:p>
        </w:tc>
        <w:tc>
          <w:tcPr>
            <w:tcW w:w="413"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1</w:t>
            </w:r>
          </w:p>
        </w:tc>
        <w:tc>
          <w:tcPr>
            <w:tcW w:w="450"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40</w:t>
            </w:r>
          </w:p>
        </w:tc>
        <w:tc>
          <w:tcPr>
            <w:tcW w:w="406"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仿宋"/>
                <w:b/>
                <w:bCs/>
                <w:color w:val="000000" w:themeColor="text1"/>
                <w:sz w:val="24"/>
                <w:szCs w:val="24"/>
                <w14:textFill>
                  <w14:solidFill>
                    <w14:schemeClr w14:val="tx1"/>
                  </w14:solidFill>
                </w14:textFill>
              </w:rPr>
            </w:pPr>
            <w:r>
              <w:rPr>
                <w:rFonts w:hint="eastAsia" w:ascii="Times New Roman" w:hAnsi="Times New Roman" w:eastAsia="仿宋"/>
                <w:b/>
                <w:bCs/>
                <w:color w:val="000000" w:themeColor="text1"/>
                <w:sz w:val="24"/>
                <w:szCs w:val="24"/>
                <w14:textFill>
                  <w14:solidFill>
                    <w14:schemeClr w14:val="tx1"/>
                  </w14:solidFill>
                </w14:textFill>
              </w:rPr>
              <w:t>1</w:t>
            </w:r>
          </w:p>
        </w:tc>
        <w:tc>
          <w:tcPr>
            <w:tcW w:w="423"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仿宋"/>
                <w:b/>
                <w:bCs/>
                <w:color w:val="000000" w:themeColor="text1"/>
                <w:sz w:val="24"/>
                <w:szCs w:val="24"/>
                <w14:textFill>
                  <w14:solidFill>
                    <w14:schemeClr w14:val="tx1"/>
                  </w14:solidFill>
                </w14:textFill>
              </w:rPr>
            </w:pPr>
            <w:r>
              <w:rPr>
                <w:rFonts w:hint="eastAsia" w:ascii="Times New Roman" w:hAnsi="Times New Roman" w:eastAsia="仿宋"/>
                <w:b/>
                <w:bCs/>
                <w:color w:val="000000" w:themeColor="text1"/>
                <w:sz w:val="24"/>
                <w:szCs w:val="24"/>
                <w14:textFill>
                  <w14:solidFill>
                    <w14:schemeClr w14:val="tx1"/>
                  </w14:solidFill>
                </w14:textFill>
              </w:rPr>
              <w:t>60</w:t>
            </w:r>
          </w:p>
        </w:tc>
        <w:tc>
          <w:tcPr>
            <w:tcW w:w="457"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2</w:t>
            </w:r>
          </w:p>
        </w:tc>
        <w:tc>
          <w:tcPr>
            <w:tcW w:w="398"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100</w:t>
            </w:r>
          </w:p>
        </w:tc>
        <w:tc>
          <w:tcPr>
            <w:tcW w:w="714" w:type="pct"/>
            <w:tcBorders>
              <w:top w:val="single" w:color="auto" w:sz="4" w:space="0"/>
              <w:left w:val="single" w:color="auto" w:sz="4" w:space="0"/>
              <w:bottom w:val="single" w:color="auto" w:sz="4" w:space="0"/>
              <w:right w:val="single" w:color="auto" w:sz="4" w:space="0"/>
            </w:tcBorders>
            <w:vAlign w:val="center"/>
          </w:tcPr>
          <w:p>
            <w:pPr>
              <w:adjustRightInd w:val="0"/>
              <w:snapToGrid w:val="0"/>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张黄、白石水、大成、安石、石埇、泉水</w:t>
            </w:r>
          </w:p>
        </w:tc>
        <w:tc>
          <w:tcPr>
            <w:tcW w:w="778" w:type="pct"/>
            <w:tcBorders>
              <w:top w:val="single" w:color="auto" w:sz="4" w:space="0"/>
              <w:left w:val="single" w:color="auto" w:sz="4" w:space="0"/>
              <w:bottom w:val="single" w:color="auto" w:sz="4" w:space="0"/>
              <w:right w:val="single" w:color="auto" w:sz="4" w:space="0"/>
            </w:tcBorders>
            <w:vAlign w:val="center"/>
          </w:tcPr>
          <w:p>
            <w:pPr>
              <w:adjustRightInd w:val="0"/>
              <w:snapToGrid w:val="0"/>
              <w:rPr>
                <w:rFonts w:ascii="Times New Roman" w:hAnsi="Times New Roman" w:eastAsia="仿宋"/>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2" w:type="pct"/>
            <w:vMerge w:val="restart"/>
            <w:vAlign w:val="center"/>
          </w:tcPr>
          <w:p>
            <w:pPr>
              <w:adjustRightInd w:val="0"/>
              <w:snapToGrid w:val="0"/>
              <w:jc w:val="center"/>
              <w:rPr>
                <w:rFonts w:ascii="Times New Roman" w:hAnsi="Times New Roman"/>
                <w:color w:val="000000" w:themeColor="text1"/>
                <w14:textFill>
                  <w14:solidFill>
                    <w14:schemeClr w14:val="tx1"/>
                  </w14:solidFill>
                </w14:textFill>
              </w:rPr>
            </w:pPr>
            <w:r>
              <w:rPr>
                <w:rFonts w:hint="eastAsia" w:ascii="Times New Roman" w:hAnsi="Times New Roman" w:eastAsia="仿宋"/>
                <w:b/>
                <w:bCs/>
                <w:color w:val="000000" w:themeColor="text1"/>
                <w:sz w:val="24"/>
                <w:szCs w:val="24"/>
                <w14:textFill>
                  <w14:solidFill>
                    <w14:schemeClr w14:val="tx1"/>
                  </w14:solidFill>
                </w14:textFill>
              </w:rPr>
              <w:t>钦南区</w:t>
            </w:r>
          </w:p>
        </w:tc>
        <w:tc>
          <w:tcPr>
            <w:tcW w:w="674"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中部片区</w:t>
            </w:r>
          </w:p>
        </w:tc>
        <w:tc>
          <w:tcPr>
            <w:tcW w:w="413"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9</w:t>
            </w:r>
          </w:p>
        </w:tc>
        <w:tc>
          <w:tcPr>
            <w:tcW w:w="450"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655</w:t>
            </w:r>
          </w:p>
        </w:tc>
        <w:tc>
          <w:tcPr>
            <w:tcW w:w="406" w:type="pct"/>
            <w:vAlign w:val="center"/>
          </w:tcPr>
          <w:p>
            <w:pPr>
              <w:adjustRightInd w:val="0"/>
              <w:snapToGrid w:val="0"/>
              <w:jc w:val="center"/>
              <w:rPr>
                <w:rFonts w:ascii="Times New Roman" w:hAnsi="Times New Roman" w:eastAsia="仿宋"/>
                <w:b/>
                <w:bCs/>
                <w:color w:val="000000" w:themeColor="text1"/>
                <w:sz w:val="24"/>
                <w:szCs w:val="24"/>
                <w14:textFill>
                  <w14:solidFill>
                    <w14:schemeClr w14:val="tx1"/>
                  </w14:solidFill>
                </w14:textFill>
              </w:rPr>
            </w:pPr>
            <w:r>
              <w:rPr>
                <w:rFonts w:hint="eastAsia" w:ascii="Times New Roman" w:hAnsi="Times New Roman" w:eastAsia="仿宋"/>
                <w:b/>
                <w:bCs/>
                <w:color w:val="000000" w:themeColor="text1"/>
                <w:sz w:val="24"/>
                <w:szCs w:val="24"/>
                <w14:textFill>
                  <w14:solidFill>
                    <w14:schemeClr w14:val="tx1"/>
                  </w14:solidFill>
                </w14:textFill>
              </w:rPr>
              <w:t>≤3</w:t>
            </w:r>
          </w:p>
        </w:tc>
        <w:tc>
          <w:tcPr>
            <w:tcW w:w="423" w:type="pct"/>
            <w:vAlign w:val="center"/>
          </w:tcPr>
          <w:p>
            <w:pPr>
              <w:adjustRightInd w:val="0"/>
              <w:snapToGrid w:val="0"/>
              <w:jc w:val="center"/>
              <w:rPr>
                <w:rFonts w:ascii="Times New Roman" w:hAnsi="Times New Roman" w:eastAsia="仿宋"/>
                <w:b/>
                <w:bCs/>
                <w:color w:val="000000" w:themeColor="text1"/>
                <w:sz w:val="24"/>
                <w:szCs w:val="24"/>
                <w14:textFill>
                  <w14:solidFill>
                    <w14:schemeClr w14:val="tx1"/>
                  </w14:solidFill>
                </w14:textFill>
              </w:rPr>
            </w:pPr>
            <w:r>
              <w:rPr>
                <w:rFonts w:hint="eastAsia" w:ascii="Times New Roman" w:hAnsi="Times New Roman" w:eastAsia="仿宋"/>
                <w:b/>
                <w:bCs/>
                <w:color w:val="000000" w:themeColor="text1"/>
                <w:sz w:val="24"/>
                <w:szCs w:val="24"/>
                <w14:textFill>
                  <w14:solidFill>
                    <w14:schemeClr w14:val="tx1"/>
                  </w14:solidFill>
                </w14:textFill>
              </w:rPr>
              <w:t>180</w:t>
            </w:r>
          </w:p>
        </w:tc>
        <w:tc>
          <w:tcPr>
            <w:tcW w:w="457"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12</w:t>
            </w:r>
          </w:p>
        </w:tc>
        <w:tc>
          <w:tcPr>
            <w:tcW w:w="398"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835</w:t>
            </w:r>
          </w:p>
        </w:tc>
        <w:tc>
          <w:tcPr>
            <w:tcW w:w="714" w:type="pct"/>
            <w:vAlign w:val="center"/>
          </w:tcPr>
          <w:p>
            <w:pPr>
              <w:adjustRightInd w:val="0"/>
              <w:snapToGrid w:val="0"/>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街道：水东、文峰、南珠、向阳、尖山。乡镇：沙埠、久隆镇、大番坡、东场</w:t>
            </w:r>
          </w:p>
        </w:tc>
        <w:tc>
          <w:tcPr>
            <w:tcW w:w="778" w:type="pct"/>
            <w:vAlign w:val="center"/>
          </w:tcPr>
          <w:p>
            <w:pPr>
              <w:adjustRightInd w:val="0"/>
              <w:snapToGrid w:val="0"/>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14:textFill>
                  <w14:solidFill>
                    <w14:schemeClr w14:val="tx1"/>
                  </w14:solidFill>
                </w14:textFill>
              </w:rPr>
              <w:t>新增站点布局在平陆运河航道钦江干流段和入海口段（久隆镇和主城区周边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2" w:type="pct"/>
            <w:vMerge w:val="continue"/>
            <w:vAlign w:val="center"/>
          </w:tcPr>
          <w:p>
            <w:pPr>
              <w:adjustRightInd w:val="0"/>
              <w:snapToGrid w:val="0"/>
              <w:jc w:val="center"/>
              <w:rPr>
                <w:rFonts w:ascii="Times New Roman" w:hAnsi="Times New Roman"/>
                <w:color w:val="000000" w:themeColor="text1"/>
                <w14:textFill>
                  <w14:solidFill>
                    <w14:schemeClr w14:val="tx1"/>
                  </w14:solidFill>
                </w14:textFill>
              </w:rPr>
            </w:pPr>
          </w:p>
        </w:tc>
        <w:tc>
          <w:tcPr>
            <w:tcW w:w="674"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茅尾海片区</w:t>
            </w:r>
          </w:p>
        </w:tc>
        <w:tc>
          <w:tcPr>
            <w:tcW w:w="413"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4</w:t>
            </w:r>
          </w:p>
        </w:tc>
        <w:tc>
          <w:tcPr>
            <w:tcW w:w="450"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21</w:t>
            </w:r>
            <w:r>
              <w:rPr>
                <w:rFonts w:hint="eastAsia" w:ascii="Times New Roman" w:hAnsi="Times New Roman" w:eastAsia="仿宋"/>
                <w:color w:val="000000" w:themeColor="text1"/>
                <w:sz w:val="24"/>
                <w:szCs w:val="24"/>
                <w14:textFill>
                  <w14:solidFill>
                    <w14:schemeClr w14:val="tx1"/>
                  </w14:solidFill>
                </w14:textFill>
              </w:rPr>
              <w:t>0</w:t>
            </w:r>
          </w:p>
        </w:tc>
        <w:tc>
          <w:tcPr>
            <w:tcW w:w="406" w:type="pct"/>
            <w:vAlign w:val="center"/>
          </w:tcPr>
          <w:p>
            <w:pPr>
              <w:adjustRightInd w:val="0"/>
              <w:snapToGrid w:val="0"/>
              <w:jc w:val="center"/>
              <w:rPr>
                <w:rFonts w:ascii="Times New Roman" w:hAnsi="Times New Roman" w:eastAsia="仿宋"/>
                <w:b/>
                <w:bCs/>
                <w:color w:val="000000" w:themeColor="text1"/>
                <w:sz w:val="24"/>
                <w:szCs w:val="24"/>
                <w14:textFill>
                  <w14:solidFill>
                    <w14:schemeClr w14:val="tx1"/>
                  </w14:solidFill>
                </w14:textFill>
              </w:rPr>
            </w:pPr>
            <w:r>
              <w:rPr>
                <w:rFonts w:ascii="Times New Roman" w:hAnsi="Times New Roman" w:eastAsia="仿宋"/>
                <w:b/>
                <w:bCs/>
                <w:color w:val="000000" w:themeColor="text1"/>
                <w:sz w:val="24"/>
                <w:szCs w:val="24"/>
                <w14:textFill>
                  <w14:solidFill>
                    <w14:schemeClr w14:val="tx1"/>
                  </w14:solidFill>
                </w14:textFill>
              </w:rPr>
              <w:t>0</w:t>
            </w:r>
          </w:p>
        </w:tc>
        <w:tc>
          <w:tcPr>
            <w:tcW w:w="423" w:type="pct"/>
            <w:vAlign w:val="center"/>
          </w:tcPr>
          <w:p>
            <w:pPr>
              <w:adjustRightInd w:val="0"/>
              <w:snapToGrid w:val="0"/>
              <w:jc w:val="center"/>
              <w:rPr>
                <w:rFonts w:ascii="Times New Roman" w:hAnsi="Times New Roman" w:eastAsia="仿宋"/>
                <w:b/>
                <w:bCs/>
                <w:color w:val="000000" w:themeColor="text1"/>
                <w:sz w:val="24"/>
                <w:szCs w:val="24"/>
                <w14:textFill>
                  <w14:solidFill>
                    <w14:schemeClr w14:val="tx1"/>
                  </w14:solidFill>
                </w14:textFill>
              </w:rPr>
            </w:pPr>
            <w:r>
              <w:rPr>
                <w:rFonts w:ascii="Times New Roman" w:hAnsi="Times New Roman" w:eastAsia="仿宋"/>
                <w:b/>
                <w:bCs/>
                <w:color w:val="000000" w:themeColor="text1"/>
                <w:sz w:val="24"/>
                <w:szCs w:val="24"/>
                <w14:textFill>
                  <w14:solidFill>
                    <w14:schemeClr w14:val="tx1"/>
                  </w14:solidFill>
                </w14:textFill>
              </w:rPr>
              <w:t>0</w:t>
            </w:r>
          </w:p>
        </w:tc>
        <w:tc>
          <w:tcPr>
            <w:tcW w:w="457"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4</w:t>
            </w:r>
          </w:p>
        </w:tc>
        <w:tc>
          <w:tcPr>
            <w:tcW w:w="398"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210</w:t>
            </w:r>
          </w:p>
        </w:tc>
        <w:tc>
          <w:tcPr>
            <w:tcW w:w="714" w:type="pct"/>
            <w:vAlign w:val="center"/>
          </w:tcPr>
          <w:p>
            <w:pPr>
              <w:adjustRightInd w:val="0"/>
              <w:snapToGrid w:val="0"/>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黄屋屯、康熙岭镇</w:t>
            </w:r>
          </w:p>
        </w:tc>
        <w:tc>
          <w:tcPr>
            <w:tcW w:w="778" w:type="pct"/>
            <w:vAlign w:val="center"/>
          </w:tcPr>
          <w:p>
            <w:pPr>
              <w:adjustRightInd w:val="0"/>
              <w:snapToGrid w:val="0"/>
              <w:rPr>
                <w:rFonts w:ascii="Times New Roman" w:hAnsi="Times New Roman" w:eastAsia="仿宋"/>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2" w:type="pct"/>
            <w:vMerge w:val="continue"/>
            <w:vAlign w:val="center"/>
          </w:tcPr>
          <w:p>
            <w:pPr>
              <w:adjustRightInd w:val="0"/>
              <w:snapToGrid w:val="0"/>
              <w:jc w:val="center"/>
              <w:rPr>
                <w:rFonts w:ascii="Times New Roman" w:hAnsi="Times New Roman"/>
                <w:color w:val="000000" w:themeColor="text1"/>
                <w14:textFill>
                  <w14:solidFill>
                    <w14:schemeClr w14:val="tx1"/>
                  </w14:solidFill>
                </w14:textFill>
              </w:rPr>
            </w:pPr>
          </w:p>
        </w:tc>
        <w:tc>
          <w:tcPr>
            <w:tcW w:w="674"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东部片区</w:t>
            </w:r>
          </w:p>
        </w:tc>
        <w:tc>
          <w:tcPr>
            <w:tcW w:w="413"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0</w:t>
            </w:r>
          </w:p>
        </w:tc>
        <w:tc>
          <w:tcPr>
            <w:tcW w:w="450"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0</w:t>
            </w:r>
          </w:p>
        </w:tc>
        <w:tc>
          <w:tcPr>
            <w:tcW w:w="406" w:type="pct"/>
            <w:vAlign w:val="center"/>
          </w:tcPr>
          <w:p>
            <w:pPr>
              <w:adjustRightInd w:val="0"/>
              <w:snapToGrid w:val="0"/>
              <w:jc w:val="center"/>
              <w:rPr>
                <w:rFonts w:ascii="Times New Roman" w:hAnsi="Times New Roman" w:eastAsia="仿宋"/>
                <w:b/>
                <w:bCs/>
                <w:color w:val="000000" w:themeColor="text1"/>
                <w:sz w:val="24"/>
                <w:szCs w:val="24"/>
                <w14:textFill>
                  <w14:solidFill>
                    <w14:schemeClr w14:val="tx1"/>
                  </w14:solidFill>
                </w14:textFill>
              </w:rPr>
            </w:pPr>
            <w:r>
              <w:rPr>
                <w:rFonts w:hint="eastAsia" w:ascii="Times New Roman" w:hAnsi="Times New Roman" w:eastAsia="仿宋"/>
                <w:b/>
                <w:bCs/>
                <w:color w:val="000000" w:themeColor="text1"/>
                <w:sz w:val="24"/>
                <w:szCs w:val="24"/>
                <w14:textFill>
                  <w14:solidFill>
                    <w14:schemeClr w14:val="tx1"/>
                  </w14:solidFill>
                </w14:textFill>
              </w:rPr>
              <w:t>≤2</w:t>
            </w:r>
          </w:p>
        </w:tc>
        <w:tc>
          <w:tcPr>
            <w:tcW w:w="423" w:type="pct"/>
            <w:vAlign w:val="center"/>
          </w:tcPr>
          <w:p>
            <w:pPr>
              <w:adjustRightInd w:val="0"/>
              <w:snapToGrid w:val="0"/>
              <w:jc w:val="center"/>
              <w:rPr>
                <w:rFonts w:ascii="Times New Roman" w:hAnsi="Times New Roman" w:eastAsia="仿宋"/>
                <w:b/>
                <w:bCs/>
                <w:color w:val="000000" w:themeColor="text1"/>
                <w:sz w:val="24"/>
                <w:szCs w:val="24"/>
                <w14:textFill>
                  <w14:solidFill>
                    <w14:schemeClr w14:val="tx1"/>
                  </w14:solidFill>
                </w14:textFill>
              </w:rPr>
            </w:pPr>
            <w:r>
              <w:rPr>
                <w:rFonts w:hint="eastAsia" w:ascii="Times New Roman" w:hAnsi="Times New Roman" w:eastAsia="仿宋"/>
                <w:b/>
                <w:bCs/>
                <w:color w:val="000000" w:themeColor="text1"/>
                <w:sz w:val="24"/>
                <w:szCs w:val="24"/>
                <w14:textFill>
                  <w14:solidFill>
                    <w14:schemeClr w14:val="tx1"/>
                  </w14:solidFill>
                </w14:textFill>
              </w:rPr>
              <w:t>120</w:t>
            </w:r>
          </w:p>
        </w:tc>
        <w:tc>
          <w:tcPr>
            <w:tcW w:w="457"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2</w:t>
            </w:r>
          </w:p>
        </w:tc>
        <w:tc>
          <w:tcPr>
            <w:tcW w:w="398"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120</w:t>
            </w:r>
          </w:p>
        </w:tc>
        <w:tc>
          <w:tcPr>
            <w:tcW w:w="714" w:type="pct"/>
            <w:vAlign w:val="center"/>
          </w:tcPr>
          <w:p>
            <w:pPr>
              <w:adjustRightInd w:val="0"/>
              <w:snapToGrid w:val="0"/>
              <w:rPr>
                <w:rFonts w:ascii="Times New Roman" w:hAnsi="Times New Roman" w:eastAsia="仿宋"/>
                <w:color w:val="000000" w:themeColor="text1"/>
                <w:sz w:val="18"/>
                <w:szCs w:val="18"/>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那思、那彭、那丽</w:t>
            </w:r>
          </w:p>
        </w:tc>
        <w:tc>
          <w:tcPr>
            <w:tcW w:w="778" w:type="pct"/>
            <w:vAlign w:val="center"/>
          </w:tcPr>
          <w:p>
            <w:pPr>
              <w:adjustRightInd w:val="0"/>
              <w:snapToGrid w:val="0"/>
              <w:rPr>
                <w:rFonts w:ascii="Times New Roman" w:hAnsi="Times New Roman" w:eastAsia="仿宋"/>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2" w:type="pct"/>
            <w:vMerge w:val="continue"/>
            <w:tcBorders>
              <w:bottom w:val="single" w:color="auto" w:sz="4" w:space="0"/>
            </w:tcBorders>
            <w:vAlign w:val="center"/>
          </w:tcPr>
          <w:p>
            <w:pPr>
              <w:adjustRightInd w:val="0"/>
              <w:snapToGrid w:val="0"/>
              <w:jc w:val="center"/>
              <w:rPr>
                <w:rFonts w:ascii="Times New Roman" w:hAnsi="Times New Roman" w:eastAsia="仿宋"/>
                <w:color w:val="000000" w:themeColor="text1"/>
                <w:sz w:val="22"/>
                <w14:textFill>
                  <w14:solidFill>
                    <w14:schemeClr w14:val="tx1"/>
                  </w14:solidFill>
                </w14:textFill>
              </w:rPr>
            </w:pPr>
          </w:p>
        </w:tc>
        <w:tc>
          <w:tcPr>
            <w:tcW w:w="674" w:type="pct"/>
            <w:tcBorders>
              <w:bottom w:val="single" w:color="auto" w:sz="4" w:space="0"/>
            </w:tcBorders>
            <w:vAlign w:val="center"/>
          </w:tcPr>
          <w:p>
            <w:pPr>
              <w:adjustRightInd w:val="0"/>
              <w:snapToGrid w:val="0"/>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钦州港片区</w:t>
            </w:r>
          </w:p>
        </w:tc>
        <w:tc>
          <w:tcPr>
            <w:tcW w:w="413" w:type="pct"/>
            <w:tcBorders>
              <w:bottom w:val="single" w:color="auto" w:sz="4" w:space="0"/>
            </w:tcBorders>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6</w:t>
            </w:r>
          </w:p>
        </w:tc>
        <w:tc>
          <w:tcPr>
            <w:tcW w:w="450" w:type="pct"/>
            <w:tcBorders>
              <w:bottom w:val="single" w:color="auto" w:sz="4" w:space="0"/>
            </w:tcBorders>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360</w:t>
            </w:r>
          </w:p>
        </w:tc>
        <w:tc>
          <w:tcPr>
            <w:tcW w:w="406" w:type="pct"/>
            <w:tcBorders>
              <w:bottom w:val="single" w:color="auto" w:sz="4" w:space="0"/>
            </w:tcBorders>
            <w:vAlign w:val="center"/>
          </w:tcPr>
          <w:p>
            <w:pPr>
              <w:adjustRightInd w:val="0"/>
              <w:snapToGrid w:val="0"/>
              <w:jc w:val="center"/>
              <w:rPr>
                <w:rFonts w:ascii="Times New Roman" w:hAnsi="Times New Roman" w:eastAsia="仿宋"/>
                <w:b/>
                <w:bCs/>
                <w:color w:val="000000" w:themeColor="text1"/>
                <w:sz w:val="24"/>
                <w:szCs w:val="24"/>
                <w14:textFill>
                  <w14:solidFill>
                    <w14:schemeClr w14:val="tx1"/>
                  </w14:solidFill>
                </w14:textFill>
              </w:rPr>
            </w:pPr>
            <w:r>
              <w:rPr>
                <w:rFonts w:hint="eastAsia" w:ascii="Times New Roman" w:hAnsi="Times New Roman" w:eastAsia="仿宋"/>
                <w:b/>
                <w:bCs/>
                <w:color w:val="000000" w:themeColor="text1"/>
                <w:sz w:val="24"/>
                <w:szCs w:val="24"/>
                <w14:textFill>
                  <w14:solidFill>
                    <w14:schemeClr w14:val="tx1"/>
                  </w14:solidFill>
                </w14:textFill>
              </w:rPr>
              <w:t>0</w:t>
            </w:r>
          </w:p>
        </w:tc>
        <w:tc>
          <w:tcPr>
            <w:tcW w:w="423" w:type="pct"/>
            <w:tcBorders>
              <w:bottom w:val="single" w:color="auto" w:sz="4" w:space="0"/>
            </w:tcBorders>
            <w:vAlign w:val="center"/>
          </w:tcPr>
          <w:p>
            <w:pPr>
              <w:adjustRightInd w:val="0"/>
              <w:snapToGrid w:val="0"/>
              <w:jc w:val="center"/>
              <w:rPr>
                <w:rFonts w:ascii="Times New Roman" w:hAnsi="Times New Roman" w:eastAsia="仿宋"/>
                <w:b/>
                <w:bCs/>
                <w:color w:val="000000" w:themeColor="text1"/>
                <w:sz w:val="24"/>
                <w:szCs w:val="24"/>
                <w14:textFill>
                  <w14:solidFill>
                    <w14:schemeClr w14:val="tx1"/>
                  </w14:solidFill>
                </w14:textFill>
              </w:rPr>
            </w:pPr>
            <w:r>
              <w:rPr>
                <w:rFonts w:hint="eastAsia" w:ascii="Times New Roman" w:hAnsi="Times New Roman" w:eastAsia="仿宋"/>
                <w:b/>
                <w:bCs/>
                <w:color w:val="000000" w:themeColor="text1"/>
                <w:sz w:val="24"/>
                <w:szCs w:val="24"/>
                <w14:textFill>
                  <w14:solidFill>
                    <w14:schemeClr w14:val="tx1"/>
                  </w14:solidFill>
                </w14:textFill>
              </w:rPr>
              <w:t>0</w:t>
            </w:r>
          </w:p>
        </w:tc>
        <w:tc>
          <w:tcPr>
            <w:tcW w:w="457" w:type="pct"/>
            <w:tcBorders>
              <w:bottom w:val="single" w:color="auto" w:sz="4" w:space="0"/>
            </w:tcBorders>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6</w:t>
            </w:r>
          </w:p>
        </w:tc>
        <w:tc>
          <w:tcPr>
            <w:tcW w:w="398" w:type="pct"/>
            <w:tcBorders>
              <w:bottom w:val="single" w:color="auto" w:sz="4" w:space="0"/>
            </w:tcBorders>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360</w:t>
            </w:r>
          </w:p>
        </w:tc>
        <w:tc>
          <w:tcPr>
            <w:tcW w:w="714" w:type="pct"/>
            <w:tcBorders>
              <w:bottom w:val="single" w:color="auto" w:sz="4" w:space="0"/>
            </w:tcBorders>
            <w:vAlign w:val="center"/>
          </w:tcPr>
          <w:p>
            <w:pPr>
              <w:adjustRightInd w:val="0"/>
              <w:snapToGrid w:val="0"/>
              <w:rPr>
                <w:rFonts w:ascii="Times New Roman" w:hAnsi="Times New Roman" w:eastAsia="仿宋"/>
                <w:color w:val="000000" w:themeColor="text1"/>
                <w:sz w:val="18"/>
                <w:szCs w:val="18"/>
                <w14:textFill>
                  <w14:solidFill>
                    <w14:schemeClr w14:val="tx1"/>
                  </w14:solidFill>
                </w14:textFill>
              </w:rPr>
            </w:pPr>
            <w:r>
              <w:rPr>
                <w:rFonts w:hint="eastAsia" w:ascii="Times New Roman" w:hAnsi="Times New Roman" w:eastAsia="仿宋"/>
                <w:color w:val="000000" w:themeColor="text1"/>
                <w14:textFill>
                  <w14:solidFill>
                    <w14:schemeClr w14:val="tx1"/>
                  </w14:solidFill>
                </w14:textFill>
              </w:rPr>
              <w:t>钦</w:t>
            </w:r>
            <w:r>
              <w:rPr>
                <w:rFonts w:hint="eastAsia" w:ascii="Times New Roman" w:hAnsi="Times New Roman" w:eastAsia="仿宋"/>
                <w:color w:val="000000" w:themeColor="text1"/>
                <w:sz w:val="24"/>
                <w:szCs w:val="24"/>
                <w14:textFill>
                  <w14:solidFill>
                    <w14:schemeClr w14:val="tx1"/>
                  </w14:solidFill>
                </w14:textFill>
              </w:rPr>
              <w:t>州港、龙门港、犀牛角</w:t>
            </w:r>
          </w:p>
        </w:tc>
        <w:tc>
          <w:tcPr>
            <w:tcW w:w="778" w:type="pct"/>
            <w:tcBorders>
              <w:bottom w:val="single" w:color="auto" w:sz="4" w:space="0"/>
            </w:tcBorders>
            <w:vAlign w:val="center"/>
          </w:tcPr>
          <w:p>
            <w:pPr>
              <w:adjustRightInd w:val="0"/>
              <w:snapToGrid w:val="0"/>
              <w:rPr>
                <w:rFonts w:ascii="Times New Roman" w:hAnsi="Times New Roman" w:eastAsia="仿宋"/>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2" w:type="pct"/>
            <w:vMerge w:val="restart"/>
            <w:vAlign w:val="center"/>
          </w:tcPr>
          <w:p>
            <w:pPr>
              <w:adjustRightInd w:val="0"/>
              <w:snapToGrid w:val="0"/>
              <w:jc w:val="center"/>
              <w:rPr>
                <w:rFonts w:ascii="Times New Roman" w:hAnsi="Times New Roman" w:eastAsia="仿宋"/>
                <w:color w:val="000000" w:themeColor="text1"/>
                <w:sz w:val="22"/>
                <w14:textFill>
                  <w14:solidFill>
                    <w14:schemeClr w14:val="tx1"/>
                  </w14:solidFill>
                </w14:textFill>
              </w:rPr>
            </w:pPr>
            <w:r>
              <w:rPr>
                <w:rFonts w:hint="eastAsia" w:ascii="Times New Roman" w:hAnsi="Times New Roman" w:eastAsia="仿宋"/>
                <w:b/>
                <w:bCs/>
                <w:color w:val="000000" w:themeColor="text1"/>
                <w:sz w:val="24"/>
                <w:szCs w:val="24"/>
                <w14:textFill>
                  <w14:solidFill>
                    <w14:schemeClr w14:val="tx1"/>
                  </w14:solidFill>
                </w14:textFill>
              </w:rPr>
              <w:t>钦北区</w:t>
            </w:r>
          </w:p>
        </w:tc>
        <w:tc>
          <w:tcPr>
            <w:tcW w:w="674"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中部片区</w:t>
            </w:r>
          </w:p>
        </w:tc>
        <w:tc>
          <w:tcPr>
            <w:tcW w:w="413"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6</w:t>
            </w:r>
          </w:p>
        </w:tc>
        <w:tc>
          <w:tcPr>
            <w:tcW w:w="450"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370</w:t>
            </w:r>
          </w:p>
        </w:tc>
        <w:tc>
          <w:tcPr>
            <w:tcW w:w="406" w:type="pct"/>
            <w:vAlign w:val="center"/>
          </w:tcPr>
          <w:p>
            <w:pPr>
              <w:adjustRightInd w:val="0"/>
              <w:snapToGrid w:val="0"/>
              <w:jc w:val="center"/>
              <w:rPr>
                <w:rFonts w:ascii="Times New Roman" w:hAnsi="Times New Roman" w:eastAsia="仿宋"/>
                <w:b/>
                <w:bCs/>
                <w:color w:val="000000" w:themeColor="text1"/>
                <w:sz w:val="24"/>
                <w:szCs w:val="24"/>
                <w14:textFill>
                  <w14:solidFill>
                    <w14:schemeClr w14:val="tx1"/>
                  </w14:solidFill>
                </w14:textFill>
              </w:rPr>
            </w:pPr>
            <w:r>
              <w:rPr>
                <w:rFonts w:ascii="Times New Roman" w:hAnsi="Times New Roman" w:eastAsia="仿宋"/>
                <w:b/>
                <w:bCs/>
                <w:color w:val="000000" w:themeColor="text1"/>
                <w:sz w:val="24"/>
                <w:szCs w:val="24"/>
                <w14:textFill>
                  <w14:solidFill>
                    <w14:schemeClr w14:val="tx1"/>
                  </w14:solidFill>
                </w14:textFill>
              </w:rPr>
              <w:t>0</w:t>
            </w:r>
          </w:p>
        </w:tc>
        <w:tc>
          <w:tcPr>
            <w:tcW w:w="423" w:type="pct"/>
            <w:vAlign w:val="center"/>
          </w:tcPr>
          <w:p>
            <w:pPr>
              <w:adjustRightInd w:val="0"/>
              <w:snapToGrid w:val="0"/>
              <w:jc w:val="center"/>
              <w:rPr>
                <w:rFonts w:ascii="Times New Roman" w:hAnsi="Times New Roman" w:eastAsia="仿宋"/>
                <w:b/>
                <w:bCs/>
                <w:color w:val="000000" w:themeColor="text1"/>
                <w:sz w:val="24"/>
                <w:szCs w:val="24"/>
                <w14:textFill>
                  <w14:solidFill>
                    <w14:schemeClr w14:val="tx1"/>
                  </w14:solidFill>
                </w14:textFill>
              </w:rPr>
            </w:pPr>
            <w:r>
              <w:rPr>
                <w:rFonts w:ascii="Times New Roman" w:hAnsi="Times New Roman" w:eastAsia="仿宋"/>
                <w:b/>
                <w:bCs/>
                <w:color w:val="000000" w:themeColor="text1"/>
                <w:sz w:val="24"/>
                <w:szCs w:val="24"/>
                <w14:textFill>
                  <w14:solidFill>
                    <w14:schemeClr w14:val="tx1"/>
                  </w14:solidFill>
                </w14:textFill>
              </w:rPr>
              <w:t>0</w:t>
            </w:r>
          </w:p>
        </w:tc>
        <w:tc>
          <w:tcPr>
            <w:tcW w:w="457"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6</w:t>
            </w:r>
          </w:p>
        </w:tc>
        <w:tc>
          <w:tcPr>
            <w:tcW w:w="398"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370</w:t>
            </w:r>
          </w:p>
        </w:tc>
        <w:tc>
          <w:tcPr>
            <w:tcW w:w="714" w:type="pct"/>
            <w:vAlign w:val="center"/>
          </w:tcPr>
          <w:p>
            <w:pPr>
              <w:adjustRightInd w:val="0"/>
              <w:snapToGrid w:val="0"/>
              <w:jc w:val="left"/>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街道：长田、子材、鸿亭。乡镇：大垌、那蒙</w:t>
            </w:r>
          </w:p>
        </w:tc>
        <w:tc>
          <w:tcPr>
            <w:tcW w:w="778" w:type="pct"/>
            <w:vAlign w:val="center"/>
          </w:tcPr>
          <w:p>
            <w:pPr>
              <w:adjustRightInd w:val="0"/>
              <w:snapToGrid w:val="0"/>
              <w:jc w:val="left"/>
              <w:rPr>
                <w:rFonts w:ascii="Times New Roman" w:hAnsi="Times New Roman" w:eastAsia="仿宋"/>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2" w:type="pct"/>
            <w:vMerge w:val="continue"/>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p>
        </w:tc>
        <w:tc>
          <w:tcPr>
            <w:tcW w:w="674"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西部片区</w:t>
            </w:r>
          </w:p>
        </w:tc>
        <w:tc>
          <w:tcPr>
            <w:tcW w:w="413"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0</w:t>
            </w:r>
          </w:p>
        </w:tc>
        <w:tc>
          <w:tcPr>
            <w:tcW w:w="450"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0</w:t>
            </w:r>
          </w:p>
        </w:tc>
        <w:tc>
          <w:tcPr>
            <w:tcW w:w="406" w:type="pct"/>
            <w:vAlign w:val="center"/>
          </w:tcPr>
          <w:p>
            <w:pPr>
              <w:adjustRightInd w:val="0"/>
              <w:snapToGrid w:val="0"/>
              <w:jc w:val="center"/>
              <w:rPr>
                <w:rFonts w:ascii="Times New Roman" w:hAnsi="Times New Roman" w:eastAsia="仿宋"/>
                <w:b/>
                <w:bCs/>
                <w:color w:val="000000" w:themeColor="text1"/>
                <w:sz w:val="24"/>
                <w:szCs w:val="24"/>
                <w14:textFill>
                  <w14:solidFill>
                    <w14:schemeClr w14:val="tx1"/>
                  </w14:solidFill>
                </w14:textFill>
              </w:rPr>
            </w:pPr>
            <w:r>
              <w:rPr>
                <w:rFonts w:hint="eastAsia" w:ascii="Times New Roman" w:hAnsi="Times New Roman" w:eastAsia="仿宋"/>
                <w:b/>
                <w:bCs/>
                <w:color w:val="000000" w:themeColor="text1"/>
                <w:sz w:val="24"/>
                <w:szCs w:val="24"/>
                <w14:textFill>
                  <w14:solidFill>
                    <w14:schemeClr w14:val="tx1"/>
                  </w14:solidFill>
                </w14:textFill>
              </w:rPr>
              <w:t>≤2</w:t>
            </w:r>
          </w:p>
        </w:tc>
        <w:tc>
          <w:tcPr>
            <w:tcW w:w="423" w:type="pct"/>
            <w:vAlign w:val="center"/>
          </w:tcPr>
          <w:p>
            <w:pPr>
              <w:adjustRightInd w:val="0"/>
              <w:snapToGrid w:val="0"/>
              <w:jc w:val="center"/>
              <w:rPr>
                <w:rFonts w:ascii="Times New Roman" w:hAnsi="Times New Roman" w:eastAsia="仿宋"/>
                <w:b/>
                <w:bCs/>
                <w:color w:val="000000" w:themeColor="text1"/>
                <w:sz w:val="24"/>
                <w:szCs w:val="24"/>
                <w14:textFill>
                  <w14:solidFill>
                    <w14:schemeClr w14:val="tx1"/>
                  </w14:solidFill>
                </w14:textFill>
              </w:rPr>
            </w:pPr>
            <w:r>
              <w:rPr>
                <w:rFonts w:hint="eastAsia" w:ascii="Times New Roman" w:hAnsi="Times New Roman" w:eastAsia="仿宋"/>
                <w:b/>
                <w:bCs/>
                <w:color w:val="000000" w:themeColor="text1"/>
                <w:sz w:val="24"/>
                <w:szCs w:val="24"/>
                <w14:textFill>
                  <w14:solidFill>
                    <w14:schemeClr w14:val="tx1"/>
                  </w14:solidFill>
                </w14:textFill>
              </w:rPr>
              <w:t>120</w:t>
            </w:r>
          </w:p>
        </w:tc>
        <w:tc>
          <w:tcPr>
            <w:tcW w:w="457"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2</w:t>
            </w:r>
          </w:p>
        </w:tc>
        <w:tc>
          <w:tcPr>
            <w:tcW w:w="398"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120</w:t>
            </w:r>
          </w:p>
        </w:tc>
        <w:tc>
          <w:tcPr>
            <w:tcW w:w="714" w:type="pct"/>
            <w:vAlign w:val="center"/>
          </w:tcPr>
          <w:p>
            <w:pPr>
              <w:adjustRightInd w:val="0"/>
              <w:snapToGrid w:val="0"/>
              <w:jc w:val="left"/>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贵台、大直、大寺</w:t>
            </w:r>
          </w:p>
        </w:tc>
        <w:tc>
          <w:tcPr>
            <w:tcW w:w="778" w:type="pct"/>
            <w:vAlign w:val="center"/>
          </w:tcPr>
          <w:p>
            <w:pPr>
              <w:adjustRightInd w:val="0"/>
              <w:snapToGrid w:val="0"/>
              <w:jc w:val="left"/>
              <w:rPr>
                <w:rFonts w:ascii="Times New Roman" w:hAnsi="Times New Roman" w:eastAsia="仿宋"/>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2" w:type="pct"/>
            <w:vMerge w:val="continue"/>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p>
        </w:tc>
        <w:tc>
          <w:tcPr>
            <w:tcW w:w="674" w:type="pct"/>
            <w:vAlign w:val="center"/>
          </w:tcPr>
          <w:p>
            <w:pPr>
              <w:adjustRightInd w:val="0"/>
              <w:snapToGrid w:val="0"/>
              <w:jc w:val="center"/>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北部片区</w:t>
            </w:r>
          </w:p>
        </w:tc>
        <w:tc>
          <w:tcPr>
            <w:tcW w:w="413"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1</w:t>
            </w:r>
          </w:p>
        </w:tc>
        <w:tc>
          <w:tcPr>
            <w:tcW w:w="450"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20</w:t>
            </w:r>
          </w:p>
        </w:tc>
        <w:tc>
          <w:tcPr>
            <w:tcW w:w="406" w:type="pct"/>
            <w:vAlign w:val="center"/>
          </w:tcPr>
          <w:p>
            <w:pPr>
              <w:adjustRightInd w:val="0"/>
              <w:snapToGrid w:val="0"/>
              <w:jc w:val="center"/>
              <w:rPr>
                <w:rFonts w:ascii="Times New Roman" w:hAnsi="Times New Roman" w:eastAsia="仿宋"/>
                <w:b/>
                <w:bCs/>
                <w:color w:val="000000" w:themeColor="text1"/>
                <w:sz w:val="24"/>
                <w:szCs w:val="24"/>
                <w14:textFill>
                  <w14:solidFill>
                    <w14:schemeClr w14:val="tx1"/>
                  </w14:solidFill>
                </w14:textFill>
              </w:rPr>
            </w:pPr>
            <w:r>
              <w:rPr>
                <w:rFonts w:hint="eastAsia" w:ascii="Times New Roman" w:hAnsi="Times New Roman" w:eastAsia="仿宋"/>
                <w:b/>
                <w:bCs/>
                <w:color w:val="000000" w:themeColor="text1"/>
                <w:sz w:val="24"/>
                <w:szCs w:val="24"/>
                <w14:textFill>
                  <w14:solidFill>
                    <w14:schemeClr w14:val="tx1"/>
                  </w14:solidFill>
                </w14:textFill>
              </w:rPr>
              <w:t>1</w:t>
            </w:r>
          </w:p>
        </w:tc>
        <w:tc>
          <w:tcPr>
            <w:tcW w:w="423" w:type="pct"/>
            <w:vAlign w:val="center"/>
          </w:tcPr>
          <w:p>
            <w:pPr>
              <w:adjustRightInd w:val="0"/>
              <w:snapToGrid w:val="0"/>
              <w:jc w:val="center"/>
              <w:rPr>
                <w:rFonts w:ascii="Times New Roman" w:hAnsi="Times New Roman" w:eastAsia="仿宋"/>
                <w:b/>
                <w:bCs/>
                <w:color w:val="000000" w:themeColor="text1"/>
                <w:sz w:val="24"/>
                <w:szCs w:val="24"/>
                <w14:textFill>
                  <w14:solidFill>
                    <w14:schemeClr w14:val="tx1"/>
                  </w14:solidFill>
                </w14:textFill>
              </w:rPr>
            </w:pPr>
            <w:r>
              <w:rPr>
                <w:rFonts w:hint="eastAsia" w:ascii="Times New Roman" w:hAnsi="Times New Roman" w:eastAsia="仿宋"/>
                <w:b/>
                <w:bCs/>
                <w:color w:val="000000" w:themeColor="text1"/>
                <w:sz w:val="24"/>
                <w:szCs w:val="24"/>
                <w14:textFill>
                  <w14:solidFill>
                    <w14:schemeClr w14:val="tx1"/>
                  </w14:solidFill>
                </w14:textFill>
              </w:rPr>
              <w:t>60</w:t>
            </w:r>
          </w:p>
        </w:tc>
        <w:tc>
          <w:tcPr>
            <w:tcW w:w="457"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2</w:t>
            </w:r>
          </w:p>
        </w:tc>
        <w:tc>
          <w:tcPr>
            <w:tcW w:w="398"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80</w:t>
            </w:r>
          </w:p>
        </w:tc>
        <w:tc>
          <w:tcPr>
            <w:tcW w:w="714" w:type="pct"/>
            <w:vAlign w:val="center"/>
          </w:tcPr>
          <w:p>
            <w:pPr>
              <w:adjustRightInd w:val="0"/>
              <w:snapToGrid w:val="0"/>
              <w:rPr>
                <w:rFonts w:ascii="Times New Roman" w:hAnsi="Times New Roman" w:eastAsia="仿宋"/>
                <w:color w:val="000000" w:themeColor="text1"/>
                <w:sz w:val="18"/>
                <w:szCs w:val="18"/>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小董、长滩、新棠</w:t>
            </w:r>
          </w:p>
        </w:tc>
        <w:tc>
          <w:tcPr>
            <w:tcW w:w="778" w:type="pct"/>
            <w:vAlign w:val="center"/>
          </w:tcPr>
          <w:p>
            <w:pPr>
              <w:adjustRightInd w:val="0"/>
              <w:snapToGrid w:val="0"/>
              <w:rPr>
                <w:rFonts w:ascii="Times New Roman" w:hAnsi="Times New Roman" w:eastAsia="仿宋"/>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2" w:type="pct"/>
            <w:vMerge w:val="continue"/>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p>
        </w:tc>
        <w:tc>
          <w:tcPr>
            <w:tcW w:w="674"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东部片区</w:t>
            </w:r>
          </w:p>
        </w:tc>
        <w:tc>
          <w:tcPr>
            <w:tcW w:w="413"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0</w:t>
            </w:r>
          </w:p>
        </w:tc>
        <w:tc>
          <w:tcPr>
            <w:tcW w:w="450"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0</w:t>
            </w:r>
          </w:p>
        </w:tc>
        <w:tc>
          <w:tcPr>
            <w:tcW w:w="406" w:type="pct"/>
            <w:vAlign w:val="center"/>
          </w:tcPr>
          <w:p>
            <w:pPr>
              <w:adjustRightInd w:val="0"/>
              <w:snapToGrid w:val="0"/>
              <w:jc w:val="center"/>
              <w:rPr>
                <w:rFonts w:ascii="Times New Roman" w:hAnsi="Times New Roman" w:eastAsia="仿宋"/>
                <w:b/>
                <w:bCs/>
                <w:color w:val="000000" w:themeColor="text1"/>
                <w:sz w:val="24"/>
                <w:szCs w:val="24"/>
                <w14:textFill>
                  <w14:solidFill>
                    <w14:schemeClr w14:val="tx1"/>
                  </w14:solidFill>
                </w14:textFill>
              </w:rPr>
            </w:pPr>
            <w:r>
              <w:rPr>
                <w:rFonts w:hint="eastAsia" w:ascii="Times New Roman" w:hAnsi="Times New Roman" w:eastAsia="仿宋"/>
                <w:b/>
                <w:bCs/>
                <w:color w:val="000000" w:themeColor="text1"/>
                <w:sz w:val="24"/>
                <w:szCs w:val="24"/>
                <w14:textFill>
                  <w14:solidFill>
                    <w14:schemeClr w14:val="tx1"/>
                  </w14:solidFill>
                </w14:textFill>
              </w:rPr>
              <w:t>≤2</w:t>
            </w:r>
          </w:p>
        </w:tc>
        <w:tc>
          <w:tcPr>
            <w:tcW w:w="423" w:type="pct"/>
            <w:vAlign w:val="center"/>
          </w:tcPr>
          <w:p>
            <w:pPr>
              <w:adjustRightInd w:val="0"/>
              <w:snapToGrid w:val="0"/>
              <w:jc w:val="center"/>
              <w:rPr>
                <w:rFonts w:ascii="Times New Roman" w:hAnsi="Times New Roman" w:eastAsia="仿宋"/>
                <w:b/>
                <w:bCs/>
                <w:color w:val="000000" w:themeColor="text1"/>
                <w:sz w:val="24"/>
                <w:szCs w:val="24"/>
                <w14:textFill>
                  <w14:solidFill>
                    <w14:schemeClr w14:val="tx1"/>
                  </w14:solidFill>
                </w14:textFill>
              </w:rPr>
            </w:pPr>
            <w:r>
              <w:rPr>
                <w:rFonts w:hint="eastAsia" w:ascii="Times New Roman" w:hAnsi="Times New Roman" w:eastAsia="仿宋"/>
                <w:b/>
                <w:bCs/>
                <w:color w:val="000000" w:themeColor="text1"/>
                <w:sz w:val="24"/>
                <w:szCs w:val="24"/>
                <w14:textFill>
                  <w14:solidFill>
                    <w14:schemeClr w14:val="tx1"/>
                  </w14:solidFill>
                </w14:textFill>
              </w:rPr>
              <w:t>120</w:t>
            </w:r>
          </w:p>
        </w:tc>
        <w:tc>
          <w:tcPr>
            <w:tcW w:w="457"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2</w:t>
            </w:r>
          </w:p>
        </w:tc>
        <w:tc>
          <w:tcPr>
            <w:tcW w:w="398"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120</w:t>
            </w:r>
          </w:p>
        </w:tc>
        <w:tc>
          <w:tcPr>
            <w:tcW w:w="714" w:type="pct"/>
            <w:vAlign w:val="center"/>
          </w:tcPr>
          <w:p>
            <w:pPr>
              <w:adjustRightInd w:val="0"/>
              <w:snapToGrid w:val="0"/>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平吉、青塘、板城</w:t>
            </w:r>
          </w:p>
        </w:tc>
        <w:tc>
          <w:tcPr>
            <w:tcW w:w="778" w:type="pct"/>
            <w:vAlign w:val="center"/>
          </w:tcPr>
          <w:p>
            <w:pPr>
              <w:adjustRightInd w:val="0"/>
              <w:snapToGrid w:val="0"/>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14:textFill>
                  <w14:solidFill>
                    <w14:schemeClr w14:val="tx1"/>
                  </w14:solidFill>
                </w14:textFill>
              </w:rPr>
              <w:t>新增站点布局在平陆运河航道钦江干流段（</w:t>
            </w:r>
            <w:r>
              <w:rPr>
                <w:rFonts w:ascii="Times New Roman" w:hAnsi="Times New Roman" w:eastAsia="仿宋"/>
                <w:color w:val="000000" w:themeColor="text1"/>
                <w:sz w:val="24"/>
                <w14:textFill>
                  <w14:solidFill>
                    <w14:schemeClr w14:val="tx1"/>
                  </w14:solidFill>
                </w14:textFill>
              </w:rPr>
              <w:t>平吉、青塘、板城</w:t>
            </w:r>
            <w:r>
              <w:rPr>
                <w:rFonts w:hint="eastAsia" w:ascii="Times New Roman" w:hAnsi="Times New Roman" w:eastAsia="仿宋"/>
                <w:color w:val="000000" w:themeColor="text1"/>
                <w:sz w:val="24"/>
                <w14:textFill>
                  <w14:solidFill>
                    <w14:schemeClr w14:val="tx1"/>
                  </w14:solidFill>
                </w14:textFill>
              </w:rPr>
              <w:t>镇周边）</w:t>
            </w:r>
          </w:p>
        </w:tc>
      </w:tr>
    </w:tbl>
    <w:p>
      <w:pPr>
        <w:adjustRightInd w:val="0"/>
        <w:snapToGrid w:val="0"/>
        <w:ind w:firstLine="440" w:firstLineChars="200"/>
        <w:rPr>
          <w:rFonts w:ascii="Times New Roman" w:hAnsi="Times New Roman" w:eastAsia="仿宋"/>
          <w:color w:val="000000" w:themeColor="text1"/>
          <w:sz w:val="22"/>
          <w14:textFill>
            <w14:solidFill>
              <w14:schemeClr w14:val="tx1"/>
            </w14:solidFill>
          </w14:textFill>
        </w:rPr>
      </w:pPr>
      <w:r>
        <w:rPr>
          <w:rFonts w:ascii="Times New Roman" w:hAnsi="Times New Roman" w:eastAsia="仿宋"/>
          <w:color w:val="000000" w:themeColor="text1"/>
          <w:sz w:val="22"/>
          <w14:textFill>
            <w14:solidFill>
              <w14:schemeClr w14:val="tx1"/>
            </w14:solidFill>
          </w14:textFill>
        </w:rPr>
        <w:t>注：1、预拌混凝土新增站点选址需满足</w:t>
      </w:r>
      <w:r>
        <w:rPr>
          <w:rFonts w:hint="eastAsia" w:ascii="Times New Roman" w:hAnsi="Times New Roman" w:eastAsia="仿宋"/>
          <w:color w:val="000000" w:themeColor="text1"/>
          <w:sz w:val="22"/>
          <w14:textFill>
            <w14:solidFill>
              <w14:schemeClr w14:val="tx1"/>
            </w14:solidFill>
          </w14:textFill>
        </w:rPr>
        <w:t>本规划中所列的</w:t>
      </w:r>
      <w:r>
        <w:rPr>
          <w:rFonts w:ascii="Times New Roman" w:hAnsi="Times New Roman" w:eastAsia="仿宋"/>
          <w:color w:val="000000" w:themeColor="text1"/>
          <w:sz w:val="22"/>
          <w14:textFill>
            <w14:solidFill>
              <w14:schemeClr w14:val="tx1"/>
            </w14:solidFill>
          </w14:textFill>
        </w:rPr>
        <w:t>规范条件相关要求。</w:t>
      </w:r>
    </w:p>
    <w:p>
      <w:pPr>
        <w:adjustRightInd w:val="0"/>
        <w:snapToGrid w:val="0"/>
        <w:ind w:firstLine="880" w:firstLineChars="400"/>
        <w:rPr>
          <w:rFonts w:ascii="Times New Roman" w:hAnsi="Times New Roman" w:eastAsia="仿宋"/>
          <w:color w:val="000000" w:themeColor="text1"/>
          <w:sz w:val="22"/>
          <w14:textFill>
            <w14:solidFill>
              <w14:schemeClr w14:val="tx1"/>
            </w14:solidFill>
          </w14:textFill>
        </w:rPr>
      </w:pPr>
      <w:r>
        <w:rPr>
          <w:rFonts w:ascii="Times New Roman" w:hAnsi="Times New Roman" w:eastAsia="仿宋"/>
          <w:color w:val="000000" w:themeColor="text1"/>
          <w:sz w:val="22"/>
          <w14:textFill>
            <w14:solidFill>
              <w14:schemeClr w14:val="tx1"/>
            </w14:solidFill>
          </w14:textFill>
        </w:rPr>
        <w:t>2、鼓励产能利用率过低区域的搅拌站进行异地搬迁，向市场供不应求区域或乡镇农村市场转移；同一片区内的项目搬迁不计为新增站点，不占用规划布局指标；由不同片区的项目迁入的，计为新增站点，占用迁入片区的规划布局指标。</w:t>
      </w:r>
    </w:p>
    <w:p>
      <w:pPr>
        <w:adjustRightInd w:val="0"/>
        <w:snapToGrid w:val="0"/>
        <w:ind w:firstLine="880" w:firstLineChars="400"/>
        <w:rPr>
          <w:rFonts w:ascii="Times New Roman" w:hAnsi="Times New Roman" w:eastAsia="仿宋"/>
          <w:color w:val="000000" w:themeColor="text1"/>
          <w:sz w:val="22"/>
          <w14:textFill>
            <w14:solidFill>
              <w14:schemeClr w14:val="tx1"/>
            </w14:solidFill>
          </w14:textFill>
        </w:rPr>
      </w:pPr>
      <w:r>
        <w:rPr>
          <w:rFonts w:hint="eastAsia" w:ascii="Times New Roman" w:hAnsi="Times New Roman" w:eastAsia="仿宋"/>
          <w:color w:val="000000" w:themeColor="text1"/>
          <w:sz w:val="22"/>
          <w14:textFill>
            <w14:solidFill>
              <w14:schemeClr w14:val="tx1"/>
            </w14:solidFill>
          </w14:textFill>
        </w:rPr>
        <w:t>3、专用混凝土搅拌站在建设工程结束后如转成预拌混凝土搅拌站，需取得专业承包资质，且占用片区规划指标。</w:t>
      </w:r>
    </w:p>
    <w:p>
      <w:pPr>
        <w:adjustRightInd w:val="0"/>
        <w:snapToGrid w:val="0"/>
        <w:ind w:firstLine="880" w:firstLineChars="400"/>
        <w:rPr>
          <w:rFonts w:ascii="Times New Roman" w:hAnsi="Times New Roman" w:eastAsia="仿宋"/>
          <w:color w:val="000000" w:themeColor="text1"/>
          <w:sz w:val="22"/>
          <w14:textFill>
            <w14:solidFill>
              <w14:schemeClr w14:val="tx1"/>
            </w14:solidFill>
          </w14:textFill>
        </w:rPr>
      </w:pPr>
      <w:r>
        <w:rPr>
          <w:rFonts w:hint="eastAsia" w:ascii="Times New Roman" w:hAnsi="Times New Roman" w:eastAsia="仿宋"/>
          <w:color w:val="000000" w:themeColor="text1"/>
          <w:sz w:val="22"/>
          <w14:textFill>
            <w14:solidFill>
              <w14:schemeClr w14:val="tx1"/>
            </w14:solidFill>
          </w14:textFill>
        </w:rPr>
        <w:t>4</w:t>
      </w:r>
      <w:r>
        <w:rPr>
          <w:rFonts w:ascii="Times New Roman" w:hAnsi="Times New Roman" w:eastAsia="仿宋"/>
          <w:color w:val="000000" w:themeColor="text1"/>
          <w:sz w:val="22"/>
          <w14:textFill>
            <w14:solidFill>
              <w14:schemeClr w14:val="tx1"/>
            </w14:solidFill>
          </w14:textFill>
        </w:rPr>
        <w:t>、规划期内，当区域内产能利用率连续两年超过</w:t>
      </w:r>
      <w:r>
        <w:rPr>
          <w:rFonts w:hint="eastAsia" w:ascii="Times New Roman" w:hAnsi="Times New Roman" w:eastAsia="仿宋"/>
          <w:color w:val="000000" w:themeColor="text1"/>
          <w:sz w:val="22"/>
          <w14:textFill>
            <w14:solidFill>
              <w14:schemeClr w14:val="tx1"/>
            </w14:solidFill>
          </w14:textFill>
        </w:rPr>
        <w:t>5</w:t>
      </w:r>
      <w:r>
        <w:rPr>
          <w:rFonts w:ascii="Times New Roman" w:hAnsi="Times New Roman" w:eastAsia="仿宋"/>
          <w:color w:val="000000" w:themeColor="text1"/>
          <w:sz w:val="22"/>
          <w14:textFill>
            <w14:solidFill>
              <w14:schemeClr w14:val="tx1"/>
            </w14:solidFill>
          </w14:textFill>
        </w:rPr>
        <w:t>0%时，可在该区域内适当新增站点。</w:t>
      </w:r>
    </w:p>
    <w:p>
      <w:pPr>
        <w:adjustRightInd w:val="0"/>
        <w:snapToGrid w:val="0"/>
        <w:rPr>
          <w:rFonts w:ascii="Times New Roman" w:hAnsi="Times New Roman" w:eastAsia="仿宋"/>
          <w:b/>
          <w:bCs/>
          <w:color w:val="000000" w:themeColor="text1"/>
          <w:sz w:val="24"/>
          <w:szCs w:val="24"/>
          <w14:textFill>
            <w14:solidFill>
              <w14:schemeClr w14:val="tx1"/>
            </w14:solidFill>
          </w14:textFill>
        </w:rPr>
      </w:pPr>
    </w:p>
    <w:p>
      <w:pPr>
        <w:adjustRightInd w:val="0"/>
        <w:snapToGrid w:val="0"/>
        <w:jc w:val="center"/>
        <w:rPr>
          <w:rFonts w:ascii="Times New Roman" w:hAnsi="Times New Roman" w:eastAsia="仿宋"/>
          <w:b/>
          <w:bCs/>
          <w:color w:val="000000" w:themeColor="text1"/>
          <w:sz w:val="24"/>
          <w:szCs w:val="24"/>
          <w14:textFill>
            <w14:solidFill>
              <w14:schemeClr w14:val="tx1"/>
            </w14:solidFill>
          </w14:textFill>
        </w:rPr>
      </w:pPr>
    </w:p>
    <w:p>
      <w:pPr>
        <w:adjustRightInd w:val="0"/>
        <w:snapToGrid w:val="0"/>
        <w:jc w:val="center"/>
        <w:rPr>
          <w:rFonts w:ascii="Times New Roman" w:hAnsi="Times New Roman" w:eastAsia="仿宋"/>
          <w:b/>
          <w:bCs/>
          <w:color w:val="000000" w:themeColor="text1"/>
          <w:sz w:val="24"/>
          <w:szCs w:val="24"/>
          <w14:textFill>
            <w14:solidFill>
              <w14:schemeClr w14:val="tx1"/>
            </w14:solidFill>
          </w14:textFill>
        </w:rPr>
      </w:pPr>
      <w:r>
        <w:rPr>
          <w:rFonts w:hint="eastAsia" w:ascii="Times New Roman" w:hAnsi="Times New Roman" w:eastAsia="仿宋"/>
          <w:b/>
          <w:bCs/>
          <w:color w:val="000000" w:themeColor="text1"/>
          <w:sz w:val="24"/>
          <w:szCs w:val="24"/>
          <w14:textFill>
            <w14:solidFill>
              <w14:schemeClr w14:val="tx1"/>
            </w14:solidFill>
          </w14:textFill>
        </w:rPr>
        <w:drawing>
          <wp:inline distT="0" distB="0" distL="114300" distR="114300">
            <wp:extent cx="7843520" cy="5316855"/>
            <wp:effectExtent l="0" t="0" r="5080" b="17145"/>
            <wp:docPr id="5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
                    <pic:cNvPicPr>
                      <a:picLocks noChangeAspect="1"/>
                    </pic:cNvPicPr>
                  </pic:nvPicPr>
                  <pic:blipFill>
                    <a:blip r:embed="rId8"/>
                    <a:stretch>
                      <a:fillRect/>
                    </a:stretch>
                  </pic:blipFill>
                  <pic:spPr>
                    <a:xfrm>
                      <a:off x="0" y="0"/>
                      <a:ext cx="7843520" cy="5316855"/>
                    </a:xfrm>
                    <a:prstGeom prst="rect">
                      <a:avLst/>
                    </a:prstGeom>
                    <a:noFill/>
                    <a:ln>
                      <a:noFill/>
                    </a:ln>
                  </pic:spPr>
                </pic:pic>
              </a:graphicData>
            </a:graphic>
          </wp:inline>
        </w:drawing>
      </w:r>
    </w:p>
    <w:p>
      <w:pPr>
        <w:widowControl/>
        <w:adjustRightInd w:val="0"/>
        <w:snapToGrid w:val="0"/>
        <w:spacing w:line="360" w:lineRule="auto"/>
        <w:jc w:val="center"/>
        <w:rPr>
          <w:rFonts w:ascii="Times New Roman" w:hAnsi="Times New Roman" w:eastAsia="仿宋"/>
          <w:b/>
          <w:bCs/>
          <w:color w:val="000000" w:themeColor="text1"/>
          <w:kern w:val="0"/>
          <w:sz w:val="24"/>
          <w:szCs w:val="24"/>
          <w14:textFill>
            <w14:solidFill>
              <w14:schemeClr w14:val="tx1"/>
            </w14:solidFill>
          </w14:textFill>
        </w:rPr>
      </w:pPr>
      <w:r>
        <w:rPr>
          <w:rFonts w:hint="eastAsia" w:ascii="Times New Roman" w:hAnsi="Times New Roman" w:eastAsia="仿宋"/>
          <w:b/>
          <w:bCs/>
          <w:color w:val="000000" w:themeColor="text1"/>
          <w:kern w:val="0"/>
          <w:sz w:val="24"/>
          <w:szCs w:val="24"/>
          <w14:textFill>
            <w14:solidFill>
              <w14:schemeClr w14:val="tx1"/>
            </w14:solidFill>
          </w14:textFill>
        </w:rPr>
        <w:t>图4-1 钦州市预拌混凝土规划布局示意图（2022-2025年）</w:t>
      </w:r>
    </w:p>
    <w:p>
      <w:pPr>
        <w:widowControl/>
        <w:adjustRightInd w:val="0"/>
        <w:snapToGrid w:val="0"/>
        <w:spacing w:line="360" w:lineRule="auto"/>
        <w:jc w:val="center"/>
        <w:rPr>
          <w:rFonts w:ascii="Times New Roman" w:hAnsi="Times New Roman" w:eastAsia="仿宋"/>
          <w:b/>
          <w:bCs/>
          <w:color w:val="000000" w:themeColor="text1"/>
          <w:kern w:val="0"/>
          <w:sz w:val="24"/>
          <w:szCs w:val="24"/>
          <w14:textFill>
            <w14:solidFill>
              <w14:schemeClr w14:val="tx1"/>
            </w14:solidFill>
          </w14:textFill>
        </w:rPr>
        <w:sectPr>
          <w:pgSz w:w="16838" w:h="11906" w:orient="landscape"/>
          <w:pgMar w:top="1701" w:right="1440" w:bottom="0" w:left="1440" w:header="851" w:footer="992" w:gutter="0"/>
          <w:cols w:space="425" w:num="1"/>
          <w:docGrid w:type="lines" w:linePitch="312" w:charSpace="0"/>
        </w:sectPr>
      </w:pPr>
    </w:p>
    <w:p>
      <w:pPr>
        <w:ind w:firstLine="320" w:firstLineChars="100"/>
        <w:outlineLvl w:val="1"/>
        <w:rPr>
          <w:rFonts w:ascii="Times New Roman" w:hAnsi="Times New Roman" w:eastAsia="仿宋"/>
          <w:color w:val="000000" w:themeColor="text1"/>
          <w:sz w:val="32"/>
          <w:szCs w:val="32"/>
          <w14:textFill>
            <w14:solidFill>
              <w14:schemeClr w14:val="tx1"/>
            </w14:solidFill>
          </w14:textFill>
        </w:rPr>
      </w:pPr>
      <w:bookmarkStart w:id="143" w:name="_Toc29021"/>
      <w:bookmarkStart w:id="144" w:name="_Toc13336"/>
      <w:bookmarkStart w:id="145" w:name="_Toc32432"/>
      <w:bookmarkStart w:id="146" w:name="_Toc17411"/>
      <w:bookmarkStart w:id="147" w:name="_Toc12363"/>
      <w:bookmarkStart w:id="148" w:name="_Toc27350"/>
      <w:bookmarkStart w:id="149" w:name="_Toc27588"/>
      <w:bookmarkStart w:id="150" w:name="_Toc21163"/>
      <w:bookmarkStart w:id="151" w:name="_Toc1262"/>
      <w:bookmarkStart w:id="152" w:name="_Toc11375"/>
      <w:bookmarkStart w:id="153" w:name="_Toc11095"/>
      <w:bookmarkStart w:id="154" w:name="_Toc24675"/>
      <w:bookmarkStart w:id="155" w:name="_Toc6714"/>
      <w:bookmarkStart w:id="156" w:name="_Toc18685"/>
      <w:r>
        <w:rPr>
          <w:rFonts w:ascii="Times New Roman" w:hAnsi="Times New Roman" w:eastAsia="黑体"/>
          <w:color w:val="000000" w:themeColor="text1"/>
          <w:kern w:val="0"/>
          <w:sz w:val="32"/>
          <w:szCs w:val="32"/>
          <w:lang w:bidi="ar"/>
          <w14:textFill>
            <w14:solidFill>
              <w14:schemeClr w14:val="tx1"/>
            </w14:solidFill>
          </w14:textFill>
        </w:rPr>
        <w:t>三、预拌砂浆</w:t>
      </w:r>
      <w:bookmarkEnd w:id="143"/>
      <w:bookmarkEnd w:id="144"/>
      <w:bookmarkEnd w:id="145"/>
      <w:bookmarkEnd w:id="146"/>
      <w:bookmarkEnd w:id="147"/>
      <w:bookmarkEnd w:id="148"/>
      <w:bookmarkEnd w:id="149"/>
      <w:bookmarkEnd w:id="150"/>
      <w:bookmarkEnd w:id="151"/>
      <w:bookmarkEnd w:id="152"/>
      <w:r>
        <w:rPr>
          <w:rFonts w:ascii="Times New Roman" w:hAnsi="Times New Roman" w:eastAsia="黑体"/>
          <w:color w:val="000000" w:themeColor="text1"/>
          <w:kern w:val="0"/>
          <w:sz w:val="32"/>
          <w:szCs w:val="32"/>
          <w:lang w:bidi="ar"/>
          <w14:textFill>
            <w14:solidFill>
              <w14:schemeClr w14:val="tx1"/>
            </w14:solidFill>
          </w14:textFill>
        </w:rPr>
        <w:t>布局规划</w:t>
      </w:r>
      <w:bookmarkEnd w:id="153"/>
      <w:bookmarkEnd w:id="154"/>
      <w:bookmarkEnd w:id="155"/>
      <w:bookmarkEnd w:id="156"/>
    </w:p>
    <w:p>
      <w:pPr>
        <w:widowControl/>
        <w:ind w:firstLine="643" w:firstLineChars="200"/>
        <w:outlineLvl w:val="2"/>
        <w:rPr>
          <w:rFonts w:ascii="Times New Roman" w:hAnsi="Times New Roman" w:eastAsia="楷体"/>
          <w:b/>
          <w:color w:val="000000" w:themeColor="text1"/>
          <w:sz w:val="32"/>
          <w:szCs w:val="32"/>
          <w14:textFill>
            <w14:solidFill>
              <w14:schemeClr w14:val="tx1"/>
            </w14:solidFill>
          </w14:textFill>
        </w:rPr>
      </w:pPr>
      <w:bookmarkStart w:id="157" w:name="_Toc24076"/>
      <w:r>
        <w:rPr>
          <w:rFonts w:ascii="Times New Roman" w:hAnsi="Times New Roman" w:eastAsia="楷体"/>
          <w:b/>
          <w:color w:val="000000" w:themeColor="text1"/>
          <w:sz w:val="32"/>
          <w:szCs w:val="32"/>
          <w14:textFill>
            <w14:solidFill>
              <w14:schemeClr w14:val="tx1"/>
            </w14:solidFill>
          </w14:textFill>
        </w:rPr>
        <w:t>（一）布局原则</w:t>
      </w:r>
    </w:p>
    <w:p>
      <w:pPr>
        <w:spacing w:line="360" w:lineRule="auto"/>
        <w:ind w:firstLine="640" w:firstLineChars="200"/>
        <w:rPr>
          <w:rFonts w:ascii="Times New Roman" w:hAnsi="Times New Roman" w:eastAsia="仿宋"/>
          <w:color w:val="000000" w:themeColor="text1"/>
          <w:sz w:val="32"/>
          <w:szCs w:val="32"/>
          <w14:textFill>
            <w14:solidFill>
              <w14:schemeClr w14:val="tx1"/>
            </w14:solidFill>
          </w14:textFill>
        </w:rPr>
      </w:pPr>
      <w:r>
        <w:rPr>
          <w:rFonts w:hint="eastAsia" w:ascii="Times New Roman" w:hAnsi="Times New Roman" w:eastAsia="仿宋"/>
          <w:color w:val="000000" w:themeColor="text1"/>
          <w:sz w:val="32"/>
          <w:szCs w:val="32"/>
          <w14:textFill>
            <w14:solidFill>
              <w14:schemeClr w14:val="tx1"/>
            </w14:solidFill>
          </w14:textFill>
        </w:rPr>
        <w:t>1.市辖城市规划区，宜按50km运输距离划分片区，根据规划期预测的需求量，结合该区域现有产能和产能发挥率实际情况，按干混砂浆宜不低于50%、湿拌砂浆宜不低于30%的产能利用率进行新增产能布局。</w:t>
      </w:r>
    </w:p>
    <w:p>
      <w:pPr>
        <w:spacing w:line="360" w:lineRule="auto"/>
        <w:ind w:firstLine="640" w:firstLineChars="200"/>
        <w:rPr>
          <w:rFonts w:ascii="Times New Roman" w:hAnsi="Times New Roman" w:eastAsia="仿宋"/>
          <w:color w:val="000000" w:themeColor="text1"/>
          <w:sz w:val="32"/>
          <w:szCs w:val="32"/>
          <w14:textFill>
            <w14:solidFill>
              <w14:schemeClr w14:val="tx1"/>
            </w14:solidFill>
          </w14:textFill>
        </w:rPr>
      </w:pPr>
      <w:r>
        <w:rPr>
          <w:rFonts w:hint="eastAsia" w:ascii="Times New Roman" w:hAnsi="Times New Roman" w:eastAsia="仿宋"/>
          <w:color w:val="000000" w:themeColor="text1"/>
          <w:sz w:val="32"/>
          <w:szCs w:val="32"/>
          <w14:textFill>
            <w14:solidFill>
              <w14:schemeClr w14:val="tx1"/>
            </w14:solidFill>
          </w14:textFill>
        </w:rPr>
        <w:t>2.县城市规划区和乡镇区域，宜按50km运输距离划分片区，根据规划期预测的需求量，结合该区域现有产能和产能发挥率实际情况，以预拌砂浆产能在最佳市场辐射范围内对各乡镇能充分辐射、同时保障市场的充分竞争为原则，进行新增产能布局。</w:t>
      </w:r>
    </w:p>
    <w:p>
      <w:pPr>
        <w:spacing w:line="360" w:lineRule="auto"/>
        <w:ind w:firstLine="640" w:firstLineChars="200"/>
        <w:rPr>
          <w:rFonts w:ascii="Times New Roman" w:hAnsi="Times New Roman" w:eastAsia="仿宋"/>
          <w:color w:val="000000" w:themeColor="text1"/>
          <w:sz w:val="32"/>
          <w:szCs w:val="32"/>
          <w14:textFill>
            <w14:solidFill>
              <w14:schemeClr w14:val="tx1"/>
            </w14:solidFill>
          </w14:textFill>
        </w:rPr>
      </w:pPr>
      <w:r>
        <w:rPr>
          <w:rFonts w:hint="eastAsia" w:ascii="Times New Roman" w:hAnsi="Times New Roman" w:eastAsia="仿宋"/>
          <w:color w:val="000000" w:themeColor="text1"/>
          <w:sz w:val="32"/>
          <w:szCs w:val="32"/>
          <w14:textFill>
            <w14:solidFill>
              <w14:schemeClr w14:val="tx1"/>
            </w14:solidFill>
          </w14:textFill>
        </w:rPr>
        <w:t>3.</w:t>
      </w:r>
      <w:r>
        <w:rPr>
          <w:rFonts w:ascii="Times New Roman" w:hAnsi="Times New Roman" w:eastAsia="仿宋"/>
          <w:color w:val="000000" w:themeColor="text1"/>
          <w:sz w:val="32"/>
          <w:szCs w:val="32"/>
          <w14:textFill>
            <w14:solidFill>
              <w14:schemeClr w14:val="tx1"/>
            </w14:solidFill>
          </w14:textFill>
        </w:rPr>
        <w:t>预拌砂浆生产线建设应符合钦州市城市建设总体规划、土地规划及</w:t>
      </w:r>
      <w:r>
        <w:rPr>
          <w:rFonts w:hint="eastAsia" w:ascii="Times New Roman" w:hAnsi="Times New Roman" w:eastAsia="仿宋"/>
          <w:color w:val="000000" w:themeColor="text1"/>
          <w:sz w:val="32"/>
          <w:szCs w:val="32"/>
          <w14:textFill>
            <w14:solidFill>
              <w14:schemeClr w14:val="tx1"/>
            </w14:solidFill>
          </w14:textFill>
        </w:rPr>
        <w:t>“</w:t>
      </w:r>
      <w:r>
        <w:rPr>
          <w:rFonts w:ascii="Times New Roman" w:hAnsi="Times New Roman" w:eastAsia="仿宋"/>
          <w:color w:val="000000" w:themeColor="text1"/>
          <w:sz w:val="32"/>
          <w:szCs w:val="32"/>
          <w14:textFill>
            <w14:solidFill>
              <w14:schemeClr w14:val="tx1"/>
            </w14:solidFill>
          </w14:textFill>
        </w:rPr>
        <w:t>三线一单</w:t>
      </w:r>
      <w:r>
        <w:rPr>
          <w:rFonts w:hint="eastAsia" w:ascii="Times New Roman" w:hAnsi="Times New Roman" w:eastAsia="仿宋"/>
          <w:color w:val="000000" w:themeColor="text1"/>
          <w:sz w:val="32"/>
          <w:szCs w:val="32"/>
          <w14:textFill>
            <w14:solidFill>
              <w14:schemeClr w14:val="tx1"/>
            </w14:solidFill>
          </w14:textFill>
        </w:rPr>
        <w:t>”</w:t>
      </w:r>
      <w:r>
        <w:rPr>
          <w:rFonts w:ascii="Times New Roman" w:hAnsi="Times New Roman" w:eastAsia="仿宋"/>
          <w:color w:val="000000" w:themeColor="text1"/>
          <w:sz w:val="32"/>
          <w:szCs w:val="32"/>
          <w14:textFill>
            <w14:solidFill>
              <w14:schemeClr w14:val="tx1"/>
            </w14:solidFill>
          </w14:textFill>
        </w:rPr>
        <w:t>生态环境分区管控要求；在布点上，宜设置在工业区，避开生态敏感区、饮用水源保护区和居民生活区等，禁止建立在风景区内；在生产上，应以市场为导向，合理确定生产线产能设计及产品品种，按阶段有序建设；在应用上，应以市区和县城为重点，主要供应城市建设工程，兼顾城镇建设和其他市政工程。</w:t>
      </w:r>
    </w:p>
    <w:p>
      <w:pPr>
        <w:widowControl/>
        <w:ind w:firstLine="643" w:firstLineChars="200"/>
        <w:outlineLvl w:val="2"/>
        <w:rPr>
          <w:rFonts w:ascii="Times New Roman" w:hAnsi="Times New Roman" w:eastAsia="楷体"/>
          <w:b/>
          <w:color w:val="000000" w:themeColor="text1"/>
          <w:sz w:val="32"/>
          <w:szCs w:val="32"/>
          <w14:textFill>
            <w14:solidFill>
              <w14:schemeClr w14:val="tx1"/>
            </w14:solidFill>
          </w14:textFill>
        </w:rPr>
      </w:pPr>
      <w:r>
        <w:rPr>
          <w:rFonts w:ascii="Times New Roman" w:hAnsi="Times New Roman" w:eastAsia="楷体"/>
          <w:b/>
          <w:color w:val="000000" w:themeColor="text1"/>
          <w:sz w:val="32"/>
          <w:szCs w:val="32"/>
          <w14:textFill>
            <w14:solidFill>
              <w14:schemeClr w14:val="tx1"/>
            </w14:solidFill>
          </w14:textFill>
        </w:rPr>
        <w:t>（二）布局方案</w:t>
      </w:r>
      <w:bookmarkEnd w:id="157"/>
    </w:p>
    <w:p>
      <w:pPr>
        <w:spacing w:line="360" w:lineRule="auto"/>
        <w:ind w:firstLine="640" w:firstLineChars="200"/>
        <w:rPr>
          <w:rFonts w:ascii="Times New Roman" w:hAnsi="Times New Roman" w:eastAsia="仿宋"/>
          <w:color w:val="000000" w:themeColor="text1"/>
          <w:sz w:val="32"/>
          <w:szCs w:val="32"/>
          <w14:textFill>
            <w14:solidFill>
              <w14:schemeClr w14:val="tx1"/>
            </w14:solidFill>
          </w14:textFill>
        </w:rPr>
      </w:pPr>
      <w:r>
        <w:rPr>
          <w:rFonts w:ascii="Times New Roman" w:hAnsi="Times New Roman" w:eastAsia="仿宋"/>
          <w:color w:val="000000" w:themeColor="text1"/>
          <w:sz w:val="32"/>
          <w:szCs w:val="32"/>
          <w14:textFill>
            <w14:solidFill>
              <w14:schemeClr w14:val="tx1"/>
            </w14:solidFill>
          </w14:textFill>
        </w:rPr>
        <w:t>规划期内，结合全市预拌砂浆需求量预测分析，</w:t>
      </w:r>
      <w:r>
        <w:rPr>
          <w:rFonts w:hint="eastAsia" w:ascii="Times New Roman" w:hAnsi="Times New Roman" w:eastAsia="仿宋"/>
          <w:color w:val="000000" w:themeColor="text1"/>
          <w:sz w:val="32"/>
          <w:szCs w:val="32"/>
          <w14:textFill>
            <w14:solidFill>
              <w14:schemeClr w14:val="tx1"/>
            </w14:solidFill>
          </w14:textFill>
        </w:rPr>
        <w:t>到2025年，新增布局预拌砂浆生产站点不超过11个，总站点控制不超过17个，详见表5-2。</w:t>
      </w:r>
      <w:r>
        <w:rPr>
          <w:rFonts w:ascii="Times New Roman" w:hAnsi="Times New Roman" w:eastAsia="仿宋"/>
          <w:color w:val="000000" w:themeColor="text1"/>
          <w:sz w:val="32"/>
          <w:szCs w:val="32"/>
          <w14:textFill>
            <w14:solidFill>
              <w14:schemeClr w14:val="tx1"/>
            </w14:solidFill>
          </w14:textFill>
        </w:rPr>
        <w:t>若规划期内市场需求超预期，区域干混砂浆产能利用率连续两年达</w:t>
      </w:r>
      <w:r>
        <w:rPr>
          <w:rFonts w:hint="eastAsia" w:ascii="Times New Roman" w:hAnsi="Times New Roman" w:eastAsia="仿宋"/>
          <w:color w:val="000000" w:themeColor="text1"/>
          <w:sz w:val="32"/>
          <w:szCs w:val="32"/>
          <w14:textFill>
            <w14:solidFill>
              <w14:schemeClr w14:val="tx1"/>
            </w14:solidFill>
          </w14:textFill>
        </w:rPr>
        <w:t>70</w:t>
      </w:r>
      <w:r>
        <w:rPr>
          <w:rFonts w:ascii="Times New Roman" w:hAnsi="Times New Roman" w:eastAsia="仿宋"/>
          <w:color w:val="000000" w:themeColor="text1"/>
          <w:sz w:val="32"/>
          <w:szCs w:val="32"/>
          <w14:textFill>
            <w14:solidFill>
              <w14:schemeClr w14:val="tx1"/>
            </w14:solidFill>
          </w14:textFill>
        </w:rPr>
        <w:t>%以上（湿拌砂浆产能利用率连续两年达</w:t>
      </w:r>
      <w:r>
        <w:rPr>
          <w:rFonts w:hint="eastAsia" w:ascii="Times New Roman" w:hAnsi="Times New Roman" w:eastAsia="仿宋"/>
          <w:color w:val="000000" w:themeColor="text1"/>
          <w:sz w:val="32"/>
          <w:szCs w:val="32"/>
          <w14:textFill>
            <w14:solidFill>
              <w14:schemeClr w14:val="tx1"/>
            </w14:solidFill>
          </w14:textFill>
        </w:rPr>
        <w:t>50</w:t>
      </w:r>
      <w:r>
        <w:rPr>
          <w:rFonts w:ascii="Times New Roman" w:hAnsi="Times New Roman" w:eastAsia="仿宋"/>
          <w:color w:val="000000" w:themeColor="text1"/>
          <w:sz w:val="32"/>
          <w:szCs w:val="32"/>
          <w14:textFill>
            <w14:solidFill>
              <w14:schemeClr w14:val="tx1"/>
            </w14:solidFill>
          </w14:textFill>
        </w:rPr>
        <w:t>%以上），可考虑适当增加预拌砂浆生产站点，特种砂浆不占规划指标。</w:t>
      </w:r>
    </w:p>
    <w:p>
      <w:pPr>
        <w:widowControl/>
        <w:adjustRightInd w:val="0"/>
        <w:snapToGrid w:val="0"/>
        <w:spacing w:line="360" w:lineRule="auto"/>
        <w:jc w:val="center"/>
        <w:rPr>
          <w:rFonts w:ascii="Times New Roman" w:hAnsi="Times New Roman" w:eastAsia="仿宋"/>
          <w:b/>
          <w:bCs/>
          <w:color w:val="000000" w:themeColor="text1"/>
          <w:kern w:val="0"/>
          <w:sz w:val="24"/>
          <w:szCs w:val="24"/>
          <w14:textFill>
            <w14:solidFill>
              <w14:schemeClr w14:val="tx1"/>
            </w14:solidFill>
          </w14:textFill>
        </w:rPr>
      </w:pPr>
      <w:r>
        <w:rPr>
          <w:rFonts w:hint="eastAsia" w:ascii="Times New Roman" w:hAnsi="Times New Roman" w:eastAsia="仿宋"/>
          <w:b/>
          <w:bCs/>
          <w:color w:val="000000" w:themeColor="text1"/>
          <w:kern w:val="0"/>
          <w:sz w:val="24"/>
          <w:szCs w:val="24"/>
          <w14:textFill>
            <w14:solidFill>
              <w14:schemeClr w14:val="tx1"/>
            </w14:solidFill>
          </w14:textFill>
        </w:rPr>
        <w:t>表5-2 钦州市预拌砂浆新增站点规划布局方案（2022-2025年）</w:t>
      </w:r>
    </w:p>
    <w:tbl>
      <w:tblPr>
        <w:tblStyle w:val="14"/>
        <w:tblW w:w="5438" w:type="pct"/>
        <w:tblInd w:w="-391"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1542"/>
        <w:gridCol w:w="876"/>
        <w:gridCol w:w="1139"/>
        <w:gridCol w:w="1005"/>
        <w:gridCol w:w="1138"/>
        <w:gridCol w:w="855"/>
        <w:gridCol w:w="1064"/>
        <w:gridCol w:w="165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831" w:type="pct"/>
            <w:vMerge w:val="restart"/>
            <w:shd w:val="clear" w:color="000000" w:fill="auto"/>
            <w:vAlign w:val="center"/>
          </w:tcPr>
          <w:p>
            <w:pPr>
              <w:adjustRightInd w:val="0"/>
              <w:snapToGrid w:val="0"/>
              <w:jc w:val="center"/>
              <w:rPr>
                <w:rFonts w:ascii="Times New Roman" w:hAnsi="Times New Roman" w:eastAsia="仿宋"/>
                <w:b/>
                <w:bCs/>
                <w:color w:val="000000" w:themeColor="text1"/>
                <w:sz w:val="24"/>
                <w:szCs w:val="24"/>
                <w14:textFill>
                  <w14:solidFill>
                    <w14:schemeClr w14:val="tx1"/>
                  </w14:solidFill>
                </w14:textFill>
              </w:rPr>
            </w:pPr>
            <w:r>
              <w:rPr>
                <w:rFonts w:hint="eastAsia" w:ascii="Times New Roman" w:hAnsi="Times New Roman" w:eastAsia="仿宋"/>
                <w:b/>
                <w:bCs/>
                <w:color w:val="000000" w:themeColor="text1"/>
                <w:sz w:val="24"/>
                <w:szCs w:val="24"/>
                <w14:textFill>
                  <w14:solidFill>
                    <w14:schemeClr w14:val="tx1"/>
                  </w14:solidFill>
                </w14:textFill>
              </w:rPr>
              <w:t>布点地区</w:t>
            </w:r>
          </w:p>
        </w:tc>
        <w:tc>
          <w:tcPr>
            <w:tcW w:w="1086" w:type="pct"/>
            <w:gridSpan w:val="2"/>
            <w:vAlign w:val="center"/>
          </w:tcPr>
          <w:p>
            <w:pPr>
              <w:adjustRightInd w:val="0"/>
              <w:snapToGrid w:val="0"/>
              <w:jc w:val="center"/>
              <w:rPr>
                <w:rFonts w:ascii="Times New Roman" w:hAnsi="Times New Roman" w:eastAsia="仿宋"/>
                <w:b/>
                <w:bCs/>
                <w:color w:val="000000" w:themeColor="text1"/>
                <w:sz w:val="24"/>
                <w:szCs w:val="24"/>
                <w14:textFill>
                  <w14:solidFill>
                    <w14:schemeClr w14:val="tx1"/>
                  </w14:solidFill>
                </w14:textFill>
              </w:rPr>
            </w:pPr>
            <w:r>
              <w:rPr>
                <w:rFonts w:hint="eastAsia" w:ascii="Times New Roman" w:hAnsi="Times New Roman" w:eastAsia="仿宋"/>
                <w:b/>
                <w:bCs/>
                <w:color w:val="000000" w:themeColor="text1"/>
                <w:sz w:val="24"/>
                <w:szCs w:val="24"/>
                <w14:textFill>
                  <w14:solidFill>
                    <w14:schemeClr w14:val="tx1"/>
                  </w14:solidFill>
                </w14:textFill>
              </w:rPr>
              <w:t>现有量</w:t>
            </w:r>
          </w:p>
        </w:tc>
        <w:tc>
          <w:tcPr>
            <w:tcW w:w="1156" w:type="pct"/>
            <w:gridSpan w:val="2"/>
            <w:vAlign w:val="center"/>
          </w:tcPr>
          <w:p>
            <w:pPr>
              <w:adjustRightInd w:val="0"/>
              <w:snapToGrid w:val="0"/>
              <w:jc w:val="center"/>
              <w:rPr>
                <w:rFonts w:ascii="Times New Roman" w:hAnsi="Times New Roman" w:eastAsia="仿宋"/>
                <w:b/>
                <w:bCs/>
                <w:color w:val="000000" w:themeColor="text1"/>
                <w:sz w:val="24"/>
                <w:szCs w:val="24"/>
                <w14:textFill>
                  <w14:solidFill>
                    <w14:schemeClr w14:val="tx1"/>
                  </w14:solidFill>
                </w14:textFill>
              </w:rPr>
            </w:pPr>
            <w:r>
              <w:rPr>
                <w:rFonts w:hint="eastAsia" w:ascii="Times New Roman" w:hAnsi="Times New Roman" w:eastAsia="仿宋"/>
                <w:b/>
                <w:bCs/>
                <w:color w:val="000000" w:themeColor="text1"/>
                <w:sz w:val="24"/>
                <w:szCs w:val="24"/>
                <w14:textFill>
                  <w14:solidFill>
                    <w14:schemeClr w14:val="tx1"/>
                  </w14:solidFill>
                </w14:textFill>
              </w:rPr>
              <w:t>规划期新增</w:t>
            </w:r>
          </w:p>
        </w:tc>
        <w:tc>
          <w:tcPr>
            <w:tcW w:w="1035" w:type="pct"/>
            <w:gridSpan w:val="2"/>
            <w:vAlign w:val="center"/>
          </w:tcPr>
          <w:p>
            <w:pPr>
              <w:adjustRightInd w:val="0"/>
              <w:snapToGrid w:val="0"/>
              <w:jc w:val="center"/>
              <w:rPr>
                <w:rFonts w:ascii="Times New Roman" w:hAnsi="Times New Roman" w:eastAsia="仿宋"/>
                <w:b/>
                <w:bCs/>
                <w:color w:val="000000" w:themeColor="text1"/>
                <w:sz w:val="24"/>
                <w:szCs w:val="24"/>
                <w14:textFill>
                  <w14:solidFill>
                    <w14:schemeClr w14:val="tx1"/>
                  </w14:solidFill>
                </w14:textFill>
              </w:rPr>
            </w:pPr>
            <w:r>
              <w:rPr>
                <w:rFonts w:hint="eastAsia" w:ascii="Times New Roman" w:hAnsi="Times New Roman" w:eastAsia="仿宋"/>
                <w:b/>
                <w:bCs/>
                <w:color w:val="000000" w:themeColor="text1"/>
                <w:sz w:val="24"/>
                <w:szCs w:val="24"/>
                <w14:textFill>
                  <w14:solidFill>
                    <w14:schemeClr w14:val="tx1"/>
                  </w14:solidFill>
                </w14:textFill>
              </w:rPr>
              <w:t>2025年控制量</w:t>
            </w:r>
          </w:p>
        </w:tc>
        <w:tc>
          <w:tcPr>
            <w:tcW w:w="890" w:type="pct"/>
            <w:vMerge w:val="restart"/>
            <w:vAlign w:val="center"/>
          </w:tcPr>
          <w:p>
            <w:pPr>
              <w:adjustRightInd w:val="0"/>
              <w:snapToGrid w:val="0"/>
              <w:jc w:val="center"/>
              <w:rPr>
                <w:rFonts w:ascii="Times New Roman" w:hAnsi="Times New Roman" w:eastAsia="仿宋"/>
                <w:b/>
                <w:bCs/>
                <w:color w:val="000000" w:themeColor="text1"/>
                <w:sz w:val="24"/>
                <w:szCs w:val="24"/>
                <w14:textFill>
                  <w14:solidFill>
                    <w14:schemeClr w14:val="tx1"/>
                  </w14:solidFill>
                </w14:textFill>
              </w:rPr>
            </w:pPr>
            <w:r>
              <w:rPr>
                <w:rFonts w:hint="eastAsia" w:ascii="Times New Roman" w:hAnsi="Times New Roman" w:eastAsia="仿宋"/>
                <w:b/>
                <w:bCs/>
                <w:color w:val="000000" w:themeColor="text1"/>
                <w:sz w:val="24"/>
                <w:szCs w:val="24"/>
                <w14:textFill>
                  <w14:solidFill>
                    <w14:schemeClr w14:val="tx1"/>
                  </w14:solidFill>
                </w14:textFill>
              </w:rPr>
              <w:t>备注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831" w:type="pct"/>
            <w:vMerge w:val="continue"/>
            <w:shd w:val="clear" w:color="000000" w:fill="auto"/>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p>
        </w:tc>
        <w:tc>
          <w:tcPr>
            <w:tcW w:w="472" w:type="pct"/>
            <w:vAlign w:val="center"/>
          </w:tcPr>
          <w:p>
            <w:pPr>
              <w:adjustRightInd w:val="0"/>
              <w:snapToGrid w:val="0"/>
              <w:jc w:val="center"/>
              <w:rPr>
                <w:rFonts w:ascii="Times New Roman" w:hAnsi="Times New Roman" w:eastAsia="仿宋"/>
                <w:b/>
                <w:bCs/>
                <w:color w:val="000000" w:themeColor="text1"/>
                <w:sz w:val="24"/>
                <w:szCs w:val="24"/>
                <w14:textFill>
                  <w14:solidFill>
                    <w14:schemeClr w14:val="tx1"/>
                  </w14:solidFill>
                </w14:textFill>
              </w:rPr>
            </w:pPr>
            <w:r>
              <w:rPr>
                <w:rFonts w:hint="eastAsia" w:ascii="Times New Roman" w:hAnsi="Times New Roman" w:eastAsia="仿宋"/>
                <w:b/>
                <w:bCs/>
                <w:color w:val="000000" w:themeColor="text1"/>
                <w:sz w:val="24"/>
                <w:szCs w:val="24"/>
                <w14:textFill>
                  <w14:solidFill>
                    <w14:schemeClr w14:val="tx1"/>
                  </w14:solidFill>
                </w14:textFill>
              </w:rPr>
              <w:t>站点（个）</w:t>
            </w:r>
          </w:p>
        </w:tc>
        <w:tc>
          <w:tcPr>
            <w:tcW w:w="614" w:type="pct"/>
            <w:vAlign w:val="center"/>
          </w:tcPr>
          <w:p>
            <w:pPr>
              <w:adjustRightInd w:val="0"/>
              <w:snapToGrid w:val="0"/>
              <w:jc w:val="center"/>
              <w:rPr>
                <w:rFonts w:ascii="Times New Roman" w:hAnsi="Times New Roman" w:eastAsia="仿宋"/>
                <w:b/>
                <w:bCs/>
                <w:color w:val="000000" w:themeColor="text1"/>
                <w:sz w:val="24"/>
                <w:szCs w:val="24"/>
                <w14:textFill>
                  <w14:solidFill>
                    <w14:schemeClr w14:val="tx1"/>
                  </w14:solidFill>
                </w14:textFill>
              </w:rPr>
            </w:pPr>
            <w:r>
              <w:rPr>
                <w:rFonts w:hint="eastAsia" w:ascii="Times New Roman" w:hAnsi="Times New Roman" w:eastAsia="仿宋"/>
                <w:b/>
                <w:bCs/>
                <w:color w:val="000000" w:themeColor="text1"/>
                <w:sz w:val="24"/>
                <w:szCs w:val="24"/>
                <w14:textFill>
                  <w14:solidFill>
                    <w14:schemeClr w14:val="tx1"/>
                  </w14:solidFill>
                </w14:textFill>
              </w:rPr>
              <w:t>产能</w:t>
            </w:r>
          </w:p>
          <w:p>
            <w:pPr>
              <w:adjustRightInd w:val="0"/>
              <w:snapToGrid w:val="0"/>
              <w:jc w:val="center"/>
              <w:rPr>
                <w:rFonts w:ascii="Times New Roman" w:hAnsi="Times New Roman" w:eastAsia="仿宋"/>
                <w:b/>
                <w:bCs/>
                <w:color w:val="000000" w:themeColor="text1"/>
                <w:sz w:val="24"/>
                <w:szCs w:val="24"/>
                <w14:textFill>
                  <w14:solidFill>
                    <w14:schemeClr w14:val="tx1"/>
                  </w14:solidFill>
                </w14:textFill>
              </w:rPr>
            </w:pPr>
            <w:r>
              <w:rPr>
                <w:rFonts w:hint="eastAsia" w:ascii="Times New Roman" w:hAnsi="Times New Roman" w:eastAsia="仿宋"/>
                <w:b/>
                <w:bCs/>
                <w:color w:val="000000" w:themeColor="text1"/>
                <w:sz w:val="24"/>
                <w:szCs w:val="24"/>
                <w14:textFill>
                  <w14:solidFill>
                    <w14:schemeClr w14:val="tx1"/>
                  </w14:solidFill>
                </w14:textFill>
              </w:rPr>
              <w:t>（万吨）</w:t>
            </w:r>
          </w:p>
        </w:tc>
        <w:tc>
          <w:tcPr>
            <w:tcW w:w="542" w:type="pct"/>
            <w:vAlign w:val="center"/>
          </w:tcPr>
          <w:p>
            <w:pPr>
              <w:adjustRightInd w:val="0"/>
              <w:snapToGrid w:val="0"/>
              <w:jc w:val="center"/>
              <w:rPr>
                <w:rFonts w:ascii="Times New Roman" w:hAnsi="Times New Roman" w:eastAsia="仿宋"/>
                <w:b/>
                <w:bCs/>
                <w:color w:val="000000" w:themeColor="text1"/>
                <w:sz w:val="24"/>
                <w:szCs w:val="24"/>
                <w14:textFill>
                  <w14:solidFill>
                    <w14:schemeClr w14:val="tx1"/>
                  </w14:solidFill>
                </w14:textFill>
              </w:rPr>
            </w:pPr>
            <w:r>
              <w:rPr>
                <w:rFonts w:hint="eastAsia" w:ascii="Times New Roman" w:hAnsi="Times New Roman" w:eastAsia="仿宋"/>
                <w:b/>
                <w:bCs/>
                <w:color w:val="000000" w:themeColor="text1"/>
                <w:sz w:val="24"/>
                <w:szCs w:val="24"/>
                <w14:textFill>
                  <w14:solidFill>
                    <w14:schemeClr w14:val="tx1"/>
                  </w14:solidFill>
                </w14:textFill>
              </w:rPr>
              <w:t>站点</w:t>
            </w:r>
          </w:p>
          <w:p>
            <w:pPr>
              <w:adjustRightInd w:val="0"/>
              <w:snapToGrid w:val="0"/>
              <w:jc w:val="center"/>
              <w:rPr>
                <w:rFonts w:ascii="Times New Roman" w:hAnsi="Times New Roman" w:eastAsia="仿宋"/>
                <w:b/>
                <w:bCs/>
                <w:color w:val="000000" w:themeColor="text1"/>
                <w:sz w:val="24"/>
                <w:szCs w:val="24"/>
                <w14:textFill>
                  <w14:solidFill>
                    <w14:schemeClr w14:val="tx1"/>
                  </w14:solidFill>
                </w14:textFill>
              </w:rPr>
            </w:pPr>
            <w:r>
              <w:rPr>
                <w:rFonts w:hint="eastAsia" w:ascii="Times New Roman" w:hAnsi="Times New Roman" w:eastAsia="仿宋"/>
                <w:b/>
                <w:bCs/>
                <w:color w:val="000000" w:themeColor="text1"/>
                <w:sz w:val="24"/>
                <w:szCs w:val="24"/>
                <w14:textFill>
                  <w14:solidFill>
                    <w14:schemeClr w14:val="tx1"/>
                  </w14:solidFill>
                </w14:textFill>
              </w:rPr>
              <w:t>（个）</w:t>
            </w:r>
          </w:p>
        </w:tc>
        <w:tc>
          <w:tcPr>
            <w:tcW w:w="613" w:type="pct"/>
            <w:vAlign w:val="center"/>
          </w:tcPr>
          <w:p>
            <w:pPr>
              <w:adjustRightInd w:val="0"/>
              <w:snapToGrid w:val="0"/>
              <w:jc w:val="center"/>
              <w:rPr>
                <w:rFonts w:ascii="Times New Roman" w:hAnsi="Times New Roman" w:eastAsia="仿宋"/>
                <w:b/>
                <w:bCs/>
                <w:color w:val="000000" w:themeColor="text1"/>
                <w:sz w:val="24"/>
                <w:szCs w:val="24"/>
                <w14:textFill>
                  <w14:solidFill>
                    <w14:schemeClr w14:val="tx1"/>
                  </w14:solidFill>
                </w14:textFill>
              </w:rPr>
            </w:pPr>
            <w:r>
              <w:rPr>
                <w:rFonts w:hint="eastAsia" w:ascii="Times New Roman" w:hAnsi="Times New Roman" w:eastAsia="仿宋"/>
                <w:b/>
                <w:bCs/>
                <w:color w:val="000000" w:themeColor="text1"/>
                <w:sz w:val="24"/>
                <w:szCs w:val="24"/>
                <w14:textFill>
                  <w14:solidFill>
                    <w14:schemeClr w14:val="tx1"/>
                  </w14:solidFill>
                </w14:textFill>
              </w:rPr>
              <w:t>产能</w:t>
            </w:r>
          </w:p>
          <w:p>
            <w:pPr>
              <w:adjustRightInd w:val="0"/>
              <w:snapToGrid w:val="0"/>
              <w:jc w:val="center"/>
              <w:rPr>
                <w:rFonts w:ascii="Times New Roman" w:hAnsi="Times New Roman" w:eastAsia="仿宋"/>
                <w:b/>
                <w:bCs/>
                <w:color w:val="000000" w:themeColor="text1"/>
                <w:sz w:val="24"/>
                <w:szCs w:val="24"/>
                <w14:textFill>
                  <w14:solidFill>
                    <w14:schemeClr w14:val="tx1"/>
                  </w14:solidFill>
                </w14:textFill>
              </w:rPr>
            </w:pPr>
            <w:r>
              <w:rPr>
                <w:rFonts w:hint="eastAsia" w:ascii="Times New Roman" w:hAnsi="Times New Roman" w:eastAsia="仿宋"/>
                <w:b/>
                <w:bCs/>
                <w:color w:val="000000" w:themeColor="text1"/>
                <w:sz w:val="24"/>
                <w:szCs w:val="24"/>
                <w14:textFill>
                  <w14:solidFill>
                    <w14:schemeClr w14:val="tx1"/>
                  </w14:solidFill>
                </w14:textFill>
              </w:rPr>
              <w:t>（万吨）</w:t>
            </w:r>
          </w:p>
        </w:tc>
        <w:tc>
          <w:tcPr>
            <w:tcW w:w="461" w:type="pct"/>
            <w:vAlign w:val="center"/>
          </w:tcPr>
          <w:p>
            <w:pPr>
              <w:adjustRightInd w:val="0"/>
              <w:snapToGrid w:val="0"/>
              <w:jc w:val="center"/>
              <w:rPr>
                <w:rFonts w:ascii="Times New Roman" w:hAnsi="Times New Roman" w:eastAsia="仿宋"/>
                <w:b/>
                <w:bCs/>
                <w:color w:val="000000" w:themeColor="text1"/>
                <w:sz w:val="24"/>
                <w:szCs w:val="24"/>
                <w14:textFill>
                  <w14:solidFill>
                    <w14:schemeClr w14:val="tx1"/>
                  </w14:solidFill>
                </w14:textFill>
              </w:rPr>
            </w:pPr>
            <w:r>
              <w:rPr>
                <w:rFonts w:hint="eastAsia" w:ascii="Times New Roman" w:hAnsi="Times New Roman" w:eastAsia="仿宋"/>
                <w:b/>
                <w:bCs/>
                <w:color w:val="000000" w:themeColor="text1"/>
                <w:sz w:val="24"/>
                <w:szCs w:val="24"/>
                <w14:textFill>
                  <w14:solidFill>
                    <w14:schemeClr w14:val="tx1"/>
                  </w14:solidFill>
                </w14:textFill>
              </w:rPr>
              <w:t>站点</w:t>
            </w:r>
          </w:p>
          <w:p>
            <w:pPr>
              <w:adjustRightInd w:val="0"/>
              <w:snapToGrid w:val="0"/>
              <w:jc w:val="center"/>
              <w:rPr>
                <w:rFonts w:ascii="Times New Roman" w:hAnsi="Times New Roman" w:eastAsia="仿宋"/>
                <w:b/>
                <w:bCs/>
                <w:color w:val="000000" w:themeColor="text1"/>
                <w:sz w:val="24"/>
                <w:szCs w:val="24"/>
                <w14:textFill>
                  <w14:solidFill>
                    <w14:schemeClr w14:val="tx1"/>
                  </w14:solidFill>
                </w14:textFill>
              </w:rPr>
            </w:pPr>
            <w:r>
              <w:rPr>
                <w:rFonts w:hint="eastAsia" w:ascii="Times New Roman" w:hAnsi="Times New Roman" w:eastAsia="仿宋"/>
                <w:b/>
                <w:bCs/>
                <w:color w:val="000000" w:themeColor="text1"/>
                <w:sz w:val="24"/>
                <w:szCs w:val="24"/>
                <w14:textFill>
                  <w14:solidFill>
                    <w14:schemeClr w14:val="tx1"/>
                  </w14:solidFill>
                </w14:textFill>
              </w:rPr>
              <w:t>（个）</w:t>
            </w:r>
          </w:p>
        </w:tc>
        <w:tc>
          <w:tcPr>
            <w:tcW w:w="573" w:type="pct"/>
            <w:vAlign w:val="center"/>
          </w:tcPr>
          <w:p>
            <w:pPr>
              <w:adjustRightInd w:val="0"/>
              <w:snapToGrid w:val="0"/>
              <w:jc w:val="center"/>
              <w:rPr>
                <w:rFonts w:ascii="Times New Roman" w:hAnsi="Times New Roman" w:eastAsia="仿宋"/>
                <w:b/>
                <w:bCs/>
                <w:color w:val="000000" w:themeColor="text1"/>
                <w:sz w:val="24"/>
                <w:szCs w:val="24"/>
                <w14:textFill>
                  <w14:solidFill>
                    <w14:schemeClr w14:val="tx1"/>
                  </w14:solidFill>
                </w14:textFill>
              </w:rPr>
            </w:pPr>
            <w:r>
              <w:rPr>
                <w:rFonts w:hint="eastAsia" w:ascii="Times New Roman" w:hAnsi="Times New Roman" w:eastAsia="仿宋"/>
                <w:b/>
                <w:bCs/>
                <w:color w:val="000000" w:themeColor="text1"/>
                <w:sz w:val="24"/>
                <w:szCs w:val="24"/>
                <w14:textFill>
                  <w14:solidFill>
                    <w14:schemeClr w14:val="tx1"/>
                  </w14:solidFill>
                </w14:textFill>
              </w:rPr>
              <w:t>产能</w:t>
            </w:r>
          </w:p>
          <w:p>
            <w:pPr>
              <w:adjustRightInd w:val="0"/>
              <w:snapToGrid w:val="0"/>
              <w:jc w:val="center"/>
              <w:rPr>
                <w:rFonts w:ascii="Times New Roman" w:hAnsi="Times New Roman" w:eastAsia="仿宋"/>
                <w:b/>
                <w:bCs/>
                <w:color w:val="000000" w:themeColor="text1"/>
                <w:sz w:val="24"/>
                <w:szCs w:val="24"/>
                <w14:textFill>
                  <w14:solidFill>
                    <w14:schemeClr w14:val="tx1"/>
                  </w14:solidFill>
                </w14:textFill>
              </w:rPr>
            </w:pPr>
            <w:r>
              <w:rPr>
                <w:rFonts w:hint="eastAsia" w:ascii="Times New Roman" w:hAnsi="Times New Roman" w:eastAsia="仿宋"/>
                <w:b/>
                <w:bCs/>
                <w:color w:val="000000" w:themeColor="text1"/>
                <w:sz w:val="24"/>
                <w:szCs w:val="24"/>
                <w14:textFill>
                  <w14:solidFill>
                    <w14:schemeClr w14:val="tx1"/>
                  </w14:solidFill>
                </w14:textFill>
              </w:rPr>
              <w:t>（万吨）</w:t>
            </w:r>
          </w:p>
        </w:tc>
        <w:tc>
          <w:tcPr>
            <w:tcW w:w="890" w:type="pct"/>
            <w:vMerge w:val="continue"/>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831" w:type="pct"/>
            <w:shd w:val="clear" w:color="000000" w:fill="auto"/>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全市合计</w:t>
            </w:r>
          </w:p>
        </w:tc>
        <w:tc>
          <w:tcPr>
            <w:tcW w:w="472"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6</w:t>
            </w:r>
          </w:p>
        </w:tc>
        <w:tc>
          <w:tcPr>
            <w:tcW w:w="614"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140</w:t>
            </w:r>
          </w:p>
        </w:tc>
        <w:tc>
          <w:tcPr>
            <w:tcW w:w="542"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11</w:t>
            </w:r>
          </w:p>
        </w:tc>
        <w:tc>
          <w:tcPr>
            <w:tcW w:w="613"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330</w:t>
            </w:r>
          </w:p>
        </w:tc>
        <w:tc>
          <w:tcPr>
            <w:tcW w:w="461"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17</w:t>
            </w:r>
          </w:p>
        </w:tc>
        <w:tc>
          <w:tcPr>
            <w:tcW w:w="573"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470</w:t>
            </w:r>
          </w:p>
        </w:tc>
        <w:tc>
          <w:tcPr>
            <w:tcW w:w="890" w:type="pct"/>
            <w:vAlign w:val="center"/>
          </w:tcPr>
          <w:p>
            <w:pPr>
              <w:adjustRightInd w:val="0"/>
              <w:snapToGrid w:val="0"/>
              <w:rPr>
                <w:rFonts w:ascii="Times New Roman" w:hAnsi="Times New Roman" w:eastAsia="仿宋"/>
                <w:color w:val="000000" w:themeColor="text1"/>
                <w:sz w:val="24"/>
                <w:szCs w:val="24"/>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831" w:type="pct"/>
            <w:shd w:val="clear" w:color="000000" w:fill="auto"/>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灵山县</w:t>
            </w:r>
          </w:p>
        </w:tc>
        <w:tc>
          <w:tcPr>
            <w:tcW w:w="472"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1</w:t>
            </w:r>
          </w:p>
        </w:tc>
        <w:tc>
          <w:tcPr>
            <w:tcW w:w="614"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30</w:t>
            </w:r>
          </w:p>
        </w:tc>
        <w:tc>
          <w:tcPr>
            <w:tcW w:w="542"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3</w:t>
            </w:r>
          </w:p>
        </w:tc>
        <w:tc>
          <w:tcPr>
            <w:tcW w:w="613"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90</w:t>
            </w:r>
          </w:p>
        </w:tc>
        <w:tc>
          <w:tcPr>
            <w:tcW w:w="461"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4</w:t>
            </w:r>
          </w:p>
        </w:tc>
        <w:tc>
          <w:tcPr>
            <w:tcW w:w="573"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120</w:t>
            </w:r>
          </w:p>
        </w:tc>
        <w:tc>
          <w:tcPr>
            <w:tcW w:w="890" w:type="pct"/>
            <w:vAlign w:val="center"/>
          </w:tcPr>
          <w:p>
            <w:pPr>
              <w:adjustRightInd w:val="0"/>
              <w:snapToGrid w:val="0"/>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新增站点宜布局在</w:t>
            </w:r>
            <w:r>
              <w:rPr>
                <w:rFonts w:hint="eastAsia" w:ascii="Times New Roman" w:hAnsi="Times New Roman" w:eastAsia="仿宋"/>
                <w:color w:val="000000" w:themeColor="text1"/>
                <w:sz w:val="24"/>
                <w:szCs w:val="24"/>
                <w14:textFill>
                  <w14:solidFill>
                    <w14:schemeClr w14:val="tx1"/>
                  </w14:solidFill>
                </w14:textFill>
              </w:rPr>
              <w:t>沙坪</w:t>
            </w:r>
            <w:r>
              <w:rPr>
                <w:rFonts w:ascii="Times New Roman" w:hAnsi="Times New Roman" w:eastAsia="仿宋"/>
                <w:color w:val="000000" w:themeColor="text1"/>
                <w:sz w:val="24"/>
                <w:szCs w:val="24"/>
                <w14:textFill>
                  <w14:solidFill>
                    <w14:schemeClr w14:val="tx1"/>
                  </w14:solidFill>
                </w14:textFill>
              </w:rPr>
              <w:t>、</w:t>
            </w:r>
            <w:r>
              <w:rPr>
                <w:rFonts w:hint="eastAsia" w:ascii="Times New Roman" w:hAnsi="Times New Roman" w:eastAsia="仿宋"/>
                <w:color w:val="000000" w:themeColor="text1"/>
                <w:sz w:val="24"/>
                <w:szCs w:val="24"/>
                <w14:textFill>
                  <w14:solidFill>
                    <w14:schemeClr w14:val="tx1"/>
                  </w14:solidFill>
                </w14:textFill>
              </w:rPr>
              <w:t>旧州、陆屋、三隆镇</w:t>
            </w:r>
            <w:r>
              <w:rPr>
                <w:rFonts w:ascii="Times New Roman" w:hAnsi="Times New Roman" w:eastAsia="仿宋"/>
                <w:color w:val="000000" w:themeColor="text1"/>
                <w:sz w:val="24"/>
                <w:szCs w:val="24"/>
                <w14:textFill>
                  <w14:solidFill>
                    <w14:schemeClr w14:val="tx1"/>
                  </w14:solidFill>
                </w14:textFill>
              </w:rPr>
              <w:t>周边</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831" w:type="pct"/>
            <w:shd w:val="clear" w:color="000000" w:fill="auto"/>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浦北县</w:t>
            </w:r>
          </w:p>
        </w:tc>
        <w:tc>
          <w:tcPr>
            <w:tcW w:w="472"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2</w:t>
            </w:r>
          </w:p>
        </w:tc>
        <w:tc>
          <w:tcPr>
            <w:tcW w:w="614"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50</w:t>
            </w:r>
          </w:p>
        </w:tc>
        <w:tc>
          <w:tcPr>
            <w:tcW w:w="542"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2</w:t>
            </w:r>
          </w:p>
        </w:tc>
        <w:tc>
          <w:tcPr>
            <w:tcW w:w="613"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60</w:t>
            </w:r>
          </w:p>
        </w:tc>
        <w:tc>
          <w:tcPr>
            <w:tcW w:w="461"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4</w:t>
            </w:r>
          </w:p>
        </w:tc>
        <w:tc>
          <w:tcPr>
            <w:tcW w:w="573"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110</w:t>
            </w:r>
          </w:p>
        </w:tc>
        <w:tc>
          <w:tcPr>
            <w:tcW w:w="890" w:type="pct"/>
            <w:vAlign w:val="center"/>
          </w:tcPr>
          <w:p>
            <w:pPr>
              <w:adjustRightInd w:val="0"/>
              <w:snapToGrid w:val="0"/>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新增站点应尽量布局在工业园区内</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831" w:type="pct"/>
            <w:shd w:val="clear" w:color="000000" w:fill="auto"/>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钦南区</w:t>
            </w:r>
          </w:p>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（含钦州港）</w:t>
            </w:r>
          </w:p>
        </w:tc>
        <w:tc>
          <w:tcPr>
            <w:tcW w:w="472"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3</w:t>
            </w:r>
          </w:p>
        </w:tc>
        <w:tc>
          <w:tcPr>
            <w:tcW w:w="614"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60</w:t>
            </w:r>
          </w:p>
        </w:tc>
        <w:tc>
          <w:tcPr>
            <w:tcW w:w="542"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2</w:t>
            </w:r>
          </w:p>
        </w:tc>
        <w:tc>
          <w:tcPr>
            <w:tcW w:w="613"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60</w:t>
            </w:r>
          </w:p>
        </w:tc>
        <w:tc>
          <w:tcPr>
            <w:tcW w:w="461"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5</w:t>
            </w:r>
          </w:p>
        </w:tc>
        <w:tc>
          <w:tcPr>
            <w:tcW w:w="573"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120</w:t>
            </w:r>
          </w:p>
        </w:tc>
        <w:tc>
          <w:tcPr>
            <w:tcW w:w="890" w:type="pct"/>
            <w:vAlign w:val="center"/>
          </w:tcPr>
          <w:p>
            <w:pPr>
              <w:adjustRightInd w:val="0"/>
              <w:snapToGrid w:val="0"/>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新增站点宜布局在</w:t>
            </w:r>
            <w:r>
              <w:rPr>
                <w:rFonts w:hint="eastAsia" w:ascii="Times New Roman" w:hAnsi="Times New Roman" w:eastAsia="仿宋"/>
                <w:color w:val="000000" w:themeColor="text1"/>
                <w:sz w:val="24"/>
                <w:szCs w:val="24"/>
                <w14:textFill>
                  <w14:solidFill>
                    <w14:schemeClr w14:val="tx1"/>
                  </w14:solidFill>
                </w14:textFill>
              </w:rPr>
              <w:t>沙埠、大番坡、久隆镇</w:t>
            </w:r>
            <w:r>
              <w:rPr>
                <w:rFonts w:ascii="Times New Roman" w:hAnsi="Times New Roman" w:eastAsia="仿宋"/>
                <w:color w:val="000000" w:themeColor="text1"/>
                <w:sz w:val="24"/>
                <w:szCs w:val="24"/>
                <w14:textFill>
                  <w14:solidFill>
                    <w14:schemeClr w14:val="tx1"/>
                  </w14:solidFill>
                </w14:textFill>
              </w:rPr>
              <w:t>周边</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831" w:type="pct"/>
            <w:shd w:val="clear" w:color="000000" w:fill="auto"/>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钦北区</w:t>
            </w:r>
          </w:p>
        </w:tc>
        <w:tc>
          <w:tcPr>
            <w:tcW w:w="472"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0</w:t>
            </w:r>
          </w:p>
        </w:tc>
        <w:tc>
          <w:tcPr>
            <w:tcW w:w="614"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0</w:t>
            </w:r>
          </w:p>
        </w:tc>
        <w:tc>
          <w:tcPr>
            <w:tcW w:w="542"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4</w:t>
            </w:r>
          </w:p>
        </w:tc>
        <w:tc>
          <w:tcPr>
            <w:tcW w:w="613"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120</w:t>
            </w:r>
          </w:p>
        </w:tc>
        <w:tc>
          <w:tcPr>
            <w:tcW w:w="461"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4</w:t>
            </w:r>
          </w:p>
        </w:tc>
        <w:tc>
          <w:tcPr>
            <w:tcW w:w="573" w:type="pct"/>
            <w:vAlign w:val="center"/>
          </w:tcPr>
          <w:p>
            <w:pPr>
              <w:adjustRightInd w:val="0"/>
              <w:snapToGrid w:val="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120</w:t>
            </w:r>
          </w:p>
        </w:tc>
        <w:tc>
          <w:tcPr>
            <w:tcW w:w="890" w:type="pct"/>
            <w:vAlign w:val="center"/>
          </w:tcPr>
          <w:p>
            <w:pPr>
              <w:adjustRightInd w:val="0"/>
              <w:snapToGrid w:val="0"/>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新增站点宜布局在</w:t>
            </w:r>
            <w:r>
              <w:rPr>
                <w:rFonts w:hint="eastAsia" w:ascii="Times New Roman" w:hAnsi="Times New Roman" w:eastAsia="仿宋"/>
                <w:color w:val="000000" w:themeColor="text1"/>
                <w:sz w:val="24"/>
                <w:szCs w:val="24"/>
                <w14:textFill>
                  <w14:solidFill>
                    <w14:schemeClr w14:val="tx1"/>
                  </w14:solidFill>
                </w14:textFill>
              </w:rPr>
              <w:t>青塘</w:t>
            </w:r>
            <w:r>
              <w:rPr>
                <w:rFonts w:ascii="Times New Roman" w:hAnsi="Times New Roman" w:eastAsia="仿宋"/>
                <w:color w:val="000000" w:themeColor="text1"/>
                <w:sz w:val="24"/>
                <w:szCs w:val="24"/>
                <w14:textFill>
                  <w14:solidFill>
                    <w14:schemeClr w14:val="tx1"/>
                  </w14:solidFill>
                </w14:textFill>
              </w:rPr>
              <w:t>、</w:t>
            </w:r>
            <w:r>
              <w:rPr>
                <w:rFonts w:hint="eastAsia" w:ascii="Times New Roman" w:hAnsi="Times New Roman" w:eastAsia="仿宋"/>
                <w:color w:val="000000" w:themeColor="text1"/>
                <w:sz w:val="24"/>
                <w:szCs w:val="24"/>
                <w14:textFill>
                  <w14:solidFill>
                    <w14:schemeClr w14:val="tx1"/>
                  </w14:solidFill>
                </w14:textFill>
              </w:rPr>
              <w:t>板城、平吉</w:t>
            </w:r>
            <w:r>
              <w:rPr>
                <w:rFonts w:ascii="Times New Roman" w:hAnsi="Times New Roman" w:eastAsia="仿宋"/>
                <w:color w:val="000000" w:themeColor="text1"/>
                <w:sz w:val="24"/>
                <w:szCs w:val="24"/>
                <w14:textFill>
                  <w14:solidFill>
                    <w14:schemeClr w14:val="tx1"/>
                  </w14:solidFill>
                </w14:textFill>
              </w:rPr>
              <w:t>周边</w:t>
            </w:r>
          </w:p>
        </w:tc>
      </w:tr>
    </w:tbl>
    <w:p>
      <w:pPr>
        <w:adjustRightInd w:val="0"/>
        <w:snapToGrid w:val="0"/>
        <w:spacing w:line="360" w:lineRule="auto"/>
        <w:ind w:firstLine="640" w:firstLineChars="200"/>
        <w:rPr>
          <w:rFonts w:ascii="Times New Roman" w:hAnsi="Times New Roman" w:eastAsia="仿宋_GB2312"/>
          <w:color w:val="000000" w:themeColor="text1"/>
          <w:kern w:val="0"/>
          <w:sz w:val="32"/>
          <w:szCs w:val="32"/>
          <w14:textFill>
            <w14:solidFill>
              <w14:schemeClr w14:val="tx1"/>
            </w14:solidFill>
          </w14:textFill>
        </w:rPr>
      </w:pPr>
    </w:p>
    <w:p>
      <w:pPr>
        <w:adjustRightInd w:val="0"/>
        <w:snapToGrid w:val="0"/>
        <w:spacing w:line="360" w:lineRule="auto"/>
        <w:ind w:firstLine="640" w:firstLineChars="200"/>
        <w:rPr>
          <w:rFonts w:ascii="Times New Roman" w:hAnsi="Times New Roman" w:eastAsia="仿宋"/>
          <w:color w:val="000000" w:themeColor="text1"/>
          <w:sz w:val="32"/>
          <w:szCs w:val="32"/>
          <w14:textFill>
            <w14:solidFill>
              <w14:schemeClr w14:val="tx1"/>
            </w14:solidFill>
          </w14:textFill>
        </w:rPr>
        <w:sectPr>
          <w:pgSz w:w="11906" w:h="16838"/>
          <w:pgMar w:top="1440" w:right="1800" w:bottom="1440" w:left="1800" w:header="851" w:footer="992" w:gutter="0"/>
          <w:cols w:space="425" w:num="1"/>
          <w:docGrid w:type="lines" w:linePitch="312" w:charSpace="0"/>
        </w:sectPr>
      </w:pPr>
    </w:p>
    <w:p>
      <w:pPr>
        <w:pStyle w:val="2"/>
        <w:jc w:val="center"/>
        <w:outlineLvl w:val="0"/>
        <w:rPr>
          <w:rFonts w:ascii="Times New Roman" w:hAnsi="Times New Roman" w:eastAsia="黑体"/>
          <w:color w:val="000000" w:themeColor="text1"/>
          <w:kern w:val="0"/>
          <w:sz w:val="36"/>
          <w:szCs w:val="36"/>
          <w:lang w:bidi="ar"/>
          <w14:textFill>
            <w14:solidFill>
              <w14:schemeClr w14:val="tx1"/>
            </w14:solidFill>
          </w14:textFill>
        </w:rPr>
      </w:pPr>
      <w:bookmarkStart w:id="158" w:name="_Toc26564"/>
      <w:bookmarkStart w:id="159" w:name="_Toc15372"/>
      <w:r>
        <w:rPr>
          <w:rFonts w:ascii="Times New Roman" w:hAnsi="Times New Roman" w:eastAsia="黑体"/>
          <w:color w:val="000000" w:themeColor="text1"/>
          <w:kern w:val="0"/>
          <w:sz w:val="36"/>
          <w:szCs w:val="36"/>
          <w:lang w:bidi="ar"/>
          <w14:textFill>
            <w14:solidFill>
              <w14:schemeClr w14:val="tx1"/>
            </w14:solidFill>
          </w14:textFill>
        </w:rPr>
        <w:t>第</w:t>
      </w:r>
      <w:r>
        <w:rPr>
          <w:rFonts w:hint="eastAsia" w:ascii="Times New Roman" w:hAnsi="Times New Roman" w:eastAsia="黑体"/>
          <w:color w:val="000000" w:themeColor="text1"/>
          <w:kern w:val="0"/>
          <w:sz w:val="36"/>
          <w:szCs w:val="36"/>
          <w:lang w:bidi="ar"/>
          <w14:textFill>
            <w14:solidFill>
              <w14:schemeClr w14:val="tx1"/>
            </w14:solidFill>
          </w14:textFill>
        </w:rPr>
        <w:t>五</w:t>
      </w:r>
      <w:r>
        <w:rPr>
          <w:rFonts w:ascii="Times New Roman" w:hAnsi="Times New Roman" w:eastAsia="黑体"/>
          <w:color w:val="000000" w:themeColor="text1"/>
          <w:kern w:val="0"/>
          <w:sz w:val="36"/>
          <w:szCs w:val="36"/>
          <w:lang w:bidi="ar"/>
          <w14:textFill>
            <w14:solidFill>
              <w14:schemeClr w14:val="tx1"/>
            </w14:solidFill>
          </w14:textFill>
        </w:rPr>
        <w:t>章</w:t>
      </w:r>
      <w:r>
        <w:rPr>
          <w:rFonts w:hint="eastAsia" w:ascii="Times New Roman" w:hAnsi="Times New Roman" w:eastAsia="黑体"/>
          <w:color w:val="000000" w:themeColor="text1"/>
          <w:kern w:val="0"/>
          <w:sz w:val="36"/>
          <w:szCs w:val="36"/>
          <w:lang w:bidi="ar"/>
          <w14:textFill>
            <w14:solidFill>
              <w14:schemeClr w14:val="tx1"/>
            </w14:solidFill>
          </w14:textFill>
        </w:rPr>
        <w:t xml:space="preserve">  </w:t>
      </w:r>
      <w:r>
        <w:rPr>
          <w:rFonts w:ascii="Times New Roman" w:hAnsi="Times New Roman" w:eastAsia="黑体"/>
          <w:color w:val="000000" w:themeColor="text1"/>
          <w:kern w:val="0"/>
          <w:sz w:val="36"/>
          <w:szCs w:val="36"/>
          <w:lang w:bidi="ar"/>
          <w14:textFill>
            <w14:solidFill>
              <w14:schemeClr w14:val="tx1"/>
            </w14:solidFill>
          </w14:textFill>
        </w:rPr>
        <w:t>重点任务</w:t>
      </w:r>
      <w:bookmarkEnd w:id="131"/>
      <w:bookmarkEnd w:id="132"/>
      <w:bookmarkEnd w:id="133"/>
      <w:bookmarkEnd w:id="158"/>
      <w:bookmarkEnd w:id="159"/>
    </w:p>
    <w:p>
      <w:pPr>
        <w:keepNext/>
        <w:keepLines/>
        <w:adjustRightInd w:val="0"/>
        <w:snapToGrid w:val="0"/>
        <w:spacing w:line="360" w:lineRule="auto"/>
        <w:ind w:firstLine="640" w:firstLineChars="200"/>
        <w:outlineLvl w:val="1"/>
        <w:rPr>
          <w:rFonts w:ascii="Times New Roman" w:hAnsi="Times New Roman" w:eastAsia="黑体"/>
          <w:bCs/>
          <w:color w:val="000000" w:themeColor="text1"/>
          <w:sz w:val="32"/>
          <w:szCs w:val="26"/>
          <w14:textFill>
            <w14:solidFill>
              <w14:schemeClr w14:val="tx1"/>
            </w14:solidFill>
          </w14:textFill>
        </w:rPr>
      </w:pPr>
      <w:bookmarkStart w:id="160" w:name="_Toc8582"/>
      <w:bookmarkStart w:id="161" w:name="_Toc30100"/>
      <w:bookmarkStart w:id="162" w:name="_Toc590"/>
      <w:bookmarkStart w:id="163" w:name="_Toc9918"/>
      <w:bookmarkStart w:id="164" w:name="_Toc24585"/>
      <w:bookmarkStart w:id="165" w:name="_Toc2799"/>
      <w:bookmarkStart w:id="166" w:name="_Toc17157"/>
      <w:bookmarkStart w:id="167" w:name="_Toc89203789"/>
      <w:bookmarkStart w:id="168" w:name="_Toc32393"/>
      <w:bookmarkStart w:id="169" w:name="_Toc11206"/>
      <w:bookmarkStart w:id="170" w:name="_Toc17646"/>
      <w:bookmarkStart w:id="171" w:name="_Toc32594"/>
      <w:bookmarkStart w:id="172" w:name="_Toc9760"/>
      <w:bookmarkStart w:id="173" w:name="_Toc4909"/>
      <w:bookmarkStart w:id="174" w:name="_Toc12814"/>
      <w:bookmarkStart w:id="175" w:name="_Toc29440"/>
      <w:r>
        <w:rPr>
          <w:rFonts w:ascii="Times New Roman" w:hAnsi="Times New Roman" w:eastAsia="黑体"/>
          <w:bCs/>
          <w:color w:val="000000" w:themeColor="text1"/>
          <w:sz w:val="32"/>
          <w:szCs w:val="26"/>
          <w14:textFill>
            <w14:solidFill>
              <w14:schemeClr w14:val="tx1"/>
            </w14:solidFill>
          </w14:textFill>
        </w:rPr>
        <w:t>一、优化布局，加快预拌混凝土转型升级</w:t>
      </w:r>
      <w:bookmarkEnd w:id="160"/>
      <w:bookmarkEnd w:id="161"/>
      <w:bookmarkEnd w:id="162"/>
      <w:bookmarkEnd w:id="163"/>
      <w:bookmarkEnd w:id="164"/>
      <w:bookmarkEnd w:id="165"/>
      <w:bookmarkEnd w:id="166"/>
      <w:bookmarkEnd w:id="167"/>
      <w:r>
        <w:rPr>
          <w:rFonts w:ascii="Times New Roman" w:hAnsi="Times New Roman" w:eastAsia="黑体"/>
          <w:bCs/>
          <w:color w:val="000000" w:themeColor="text1"/>
          <w:sz w:val="32"/>
          <w:szCs w:val="26"/>
          <w14:textFill>
            <w14:solidFill>
              <w14:schemeClr w14:val="tx1"/>
            </w14:solidFill>
          </w14:textFill>
        </w:rPr>
        <w:t>发展</w:t>
      </w:r>
      <w:bookmarkEnd w:id="168"/>
      <w:bookmarkEnd w:id="169"/>
      <w:bookmarkEnd w:id="170"/>
      <w:bookmarkEnd w:id="171"/>
    </w:p>
    <w:p>
      <w:pPr>
        <w:adjustRightInd w:val="0"/>
        <w:snapToGrid w:val="0"/>
        <w:spacing w:line="360" w:lineRule="auto"/>
        <w:ind w:firstLine="643" w:firstLineChars="200"/>
        <w:outlineLvl w:val="2"/>
        <w:rPr>
          <w:rFonts w:ascii="Times New Roman" w:hAnsi="Times New Roman" w:eastAsia="楷体"/>
          <w:b/>
          <w:color w:val="000000" w:themeColor="text1"/>
          <w:sz w:val="32"/>
          <w:szCs w:val="27"/>
          <w14:textFill>
            <w14:solidFill>
              <w14:schemeClr w14:val="tx1"/>
            </w14:solidFill>
          </w14:textFill>
        </w:rPr>
      </w:pPr>
      <w:bookmarkStart w:id="176" w:name="_Toc89203790"/>
      <w:bookmarkStart w:id="177" w:name="_Toc21849"/>
      <w:r>
        <w:rPr>
          <w:rFonts w:ascii="Times New Roman" w:hAnsi="Times New Roman" w:eastAsia="楷体"/>
          <w:b/>
          <w:color w:val="000000" w:themeColor="text1"/>
          <w:sz w:val="32"/>
          <w:szCs w:val="27"/>
          <w14:textFill>
            <w14:solidFill>
              <w14:schemeClr w14:val="tx1"/>
            </w14:solidFill>
          </w14:textFill>
        </w:rPr>
        <w:t>（一）优化预拌混凝土产能布局</w:t>
      </w:r>
      <w:bookmarkEnd w:id="176"/>
      <w:bookmarkEnd w:id="177"/>
    </w:p>
    <w:p>
      <w:pPr>
        <w:adjustRightInd w:val="0"/>
        <w:snapToGrid w:val="0"/>
        <w:spacing w:line="360" w:lineRule="auto"/>
        <w:ind w:firstLine="640" w:firstLineChars="200"/>
        <w:rPr>
          <w:rFonts w:ascii="Times New Roman" w:hAnsi="Times New Roman" w:eastAsia="仿宋"/>
          <w:color w:val="000000" w:themeColor="text1"/>
          <w:kern w:val="0"/>
          <w:sz w:val="32"/>
          <w:szCs w:val="32"/>
          <w14:textFill>
            <w14:solidFill>
              <w14:schemeClr w14:val="tx1"/>
            </w14:solidFill>
          </w14:textFill>
        </w:rPr>
      </w:pPr>
      <w:r>
        <w:rPr>
          <w:rFonts w:ascii="Times New Roman" w:hAnsi="Times New Roman" w:eastAsia="仿宋"/>
          <w:color w:val="000000" w:themeColor="text1"/>
          <w:kern w:val="0"/>
          <w:sz w:val="32"/>
          <w:szCs w:val="32"/>
          <w14:textFill>
            <w14:solidFill>
              <w14:schemeClr w14:val="tx1"/>
            </w14:solidFill>
          </w14:textFill>
        </w:rPr>
        <w:t>以市场为导向，合理布局预拌混凝土产能，产</w:t>
      </w:r>
      <w:r>
        <w:rPr>
          <w:rFonts w:hint="eastAsia" w:ascii="Times New Roman" w:hAnsi="Times New Roman" w:eastAsia="仿宋"/>
          <w:color w:val="000000" w:themeColor="text1"/>
          <w:kern w:val="0"/>
          <w:sz w:val="32"/>
          <w:szCs w:val="32"/>
          <w14:textFill>
            <w14:solidFill>
              <w14:schemeClr w14:val="tx1"/>
            </w14:solidFill>
          </w14:textFill>
        </w:rPr>
        <w:t>品</w:t>
      </w:r>
      <w:r>
        <w:rPr>
          <w:rFonts w:ascii="Times New Roman" w:hAnsi="Times New Roman" w:eastAsia="仿宋"/>
          <w:color w:val="000000" w:themeColor="text1"/>
          <w:kern w:val="0"/>
          <w:sz w:val="32"/>
          <w:szCs w:val="32"/>
          <w14:textFill>
            <w14:solidFill>
              <w14:schemeClr w14:val="tx1"/>
            </w14:solidFill>
          </w14:textFill>
        </w:rPr>
        <w:t>充分辐射乡镇农村市场，助推预拌混凝土乡镇农村应用，积极化解局部地区产能利用率过低导致的恶性竞争风险。鼓励产能利用率过低区域的搅拌站进行异地搬迁，在符合规划布局前提下，向市场供不应求区域或乡镇农村市场转移。</w:t>
      </w:r>
      <w:r>
        <w:rPr>
          <w:rFonts w:hint="eastAsia" w:ascii="Times New Roman" w:hAnsi="Times New Roman" w:eastAsia="仿宋"/>
          <w:color w:val="000000" w:themeColor="text1"/>
          <w:kern w:val="0"/>
          <w:sz w:val="32"/>
          <w:szCs w:val="32"/>
          <w14:textFill>
            <w14:solidFill>
              <w14:schemeClr w14:val="tx1"/>
            </w14:solidFill>
          </w14:textFill>
        </w:rPr>
        <w:t>鼓励产能利用率较低区域站点兼并重组，提高区域产能利用率，形成良好市场环境。</w:t>
      </w:r>
    </w:p>
    <w:p>
      <w:pPr>
        <w:adjustRightInd w:val="0"/>
        <w:snapToGrid w:val="0"/>
        <w:spacing w:line="360" w:lineRule="auto"/>
        <w:ind w:firstLine="643" w:firstLineChars="200"/>
        <w:outlineLvl w:val="2"/>
        <w:rPr>
          <w:rFonts w:ascii="Times New Roman" w:hAnsi="Times New Roman" w:eastAsia="楷体"/>
          <w:b/>
          <w:color w:val="000000" w:themeColor="text1"/>
          <w:sz w:val="32"/>
          <w:szCs w:val="27"/>
          <w14:textFill>
            <w14:solidFill>
              <w14:schemeClr w14:val="tx1"/>
            </w14:solidFill>
          </w14:textFill>
        </w:rPr>
      </w:pPr>
      <w:bookmarkStart w:id="178" w:name="_Toc89203791"/>
      <w:bookmarkStart w:id="179" w:name="_Toc30254"/>
      <w:r>
        <w:rPr>
          <w:rFonts w:ascii="Times New Roman" w:hAnsi="Times New Roman" w:eastAsia="楷体"/>
          <w:b/>
          <w:color w:val="000000" w:themeColor="text1"/>
          <w:sz w:val="32"/>
          <w:szCs w:val="27"/>
          <w14:textFill>
            <w14:solidFill>
              <w14:schemeClr w14:val="tx1"/>
            </w14:solidFill>
          </w14:textFill>
        </w:rPr>
        <w:t>（二）加快产业转型升级</w:t>
      </w:r>
      <w:bookmarkEnd w:id="178"/>
      <w:bookmarkEnd w:id="179"/>
    </w:p>
    <w:p>
      <w:pPr>
        <w:adjustRightInd w:val="0"/>
        <w:snapToGrid w:val="0"/>
        <w:spacing w:line="360" w:lineRule="auto"/>
        <w:ind w:firstLine="640" w:firstLineChars="200"/>
        <w:rPr>
          <w:rFonts w:ascii="Times New Roman" w:hAnsi="Times New Roman" w:eastAsia="仿宋"/>
          <w:color w:val="000000" w:themeColor="text1"/>
          <w:kern w:val="0"/>
          <w:sz w:val="32"/>
          <w:szCs w:val="32"/>
          <w14:textFill>
            <w14:solidFill>
              <w14:schemeClr w14:val="tx1"/>
            </w14:solidFill>
          </w14:textFill>
        </w:rPr>
      </w:pPr>
      <w:r>
        <w:rPr>
          <w:rFonts w:ascii="Times New Roman" w:hAnsi="Times New Roman" w:eastAsia="仿宋"/>
          <w:color w:val="000000" w:themeColor="text1"/>
          <w:kern w:val="0"/>
          <w:sz w:val="32"/>
          <w:szCs w:val="32"/>
          <w14:textFill>
            <w14:solidFill>
              <w14:schemeClr w14:val="tx1"/>
            </w14:solidFill>
          </w14:textFill>
        </w:rPr>
        <w:t>依法依规整治不达标产能，强化依法行政和标准实施，对经整改达不到环保、能耗、安全、质量等强制性标准要求的</w:t>
      </w:r>
      <w:r>
        <w:rPr>
          <w:rFonts w:hint="eastAsia" w:ascii="Times New Roman" w:hAnsi="Times New Roman" w:eastAsia="仿宋"/>
          <w:color w:val="000000" w:themeColor="text1"/>
          <w:kern w:val="0"/>
          <w:sz w:val="32"/>
          <w:szCs w:val="32"/>
          <w14:textFill>
            <w14:solidFill>
              <w14:schemeClr w14:val="tx1"/>
            </w14:solidFill>
          </w14:textFill>
        </w:rPr>
        <w:t>企业</w:t>
      </w:r>
      <w:r>
        <w:rPr>
          <w:rFonts w:ascii="Times New Roman" w:hAnsi="Times New Roman" w:eastAsia="仿宋"/>
          <w:color w:val="000000" w:themeColor="text1"/>
          <w:kern w:val="0"/>
          <w:sz w:val="32"/>
          <w:szCs w:val="32"/>
          <w14:textFill>
            <w14:solidFill>
              <w14:schemeClr w14:val="tx1"/>
            </w14:solidFill>
          </w14:textFill>
        </w:rPr>
        <w:t>，依法有序关停退出，加快推进预拌混凝土企业从规模式粗放增长向环境友好型、资源节约型、绿色循环产业转型。鼓励企业进行装备与技术的改造和提升，改进生产工艺，以满足不同工程对不同性能混凝土的需求</w:t>
      </w:r>
      <w:r>
        <w:rPr>
          <w:rFonts w:hint="eastAsia" w:ascii="Times New Roman" w:hAnsi="Times New Roman" w:eastAsia="仿宋"/>
          <w:color w:val="000000" w:themeColor="text1"/>
          <w:kern w:val="0"/>
          <w:sz w:val="32"/>
          <w:szCs w:val="32"/>
          <w14:textFill>
            <w14:solidFill>
              <w14:schemeClr w14:val="tx1"/>
            </w14:solidFill>
          </w14:textFill>
        </w:rPr>
        <w:t>；</w:t>
      </w:r>
      <w:r>
        <w:rPr>
          <w:rFonts w:ascii="Times New Roman" w:hAnsi="Times New Roman" w:eastAsia="仿宋"/>
          <w:color w:val="000000" w:themeColor="text1"/>
          <w:kern w:val="0"/>
          <w:sz w:val="32"/>
          <w:szCs w:val="32"/>
          <w14:textFill>
            <w14:solidFill>
              <w14:schemeClr w14:val="tx1"/>
            </w14:solidFill>
          </w14:textFill>
        </w:rPr>
        <w:t>加快提升产品档次和产品品质，淘汰落后工艺技术，倒逼落后产能退出，推动行业由中低端向中高端发展。鼓励企业通过兼并重组等方式做强做大，引导行业理性投资；培育大企业集团，推动行业规模化、集约化发展。</w:t>
      </w:r>
    </w:p>
    <w:p>
      <w:pPr>
        <w:adjustRightInd w:val="0"/>
        <w:snapToGrid w:val="0"/>
        <w:spacing w:line="360" w:lineRule="auto"/>
        <w:ind w:firstLine="640" w:firstLineChars="200"/>
        <w:rPr>
          <w:rFonts w:ascii="Times New Roman" w:hAnsi="Times New Roman" w:eastAsia="仿宋"/>
          <w:color w:val="000000" w:themeColor="text1"/>
          <w:kern w:val="0"/>
          <w:sz w:val="32"/>
          <w:szCs w:val="32"/>
          <w14:textFill>
            <w14:solidFill>
              <w14:schemeClr w14:val="tx1"/>
            </w14:solidFill>
          </w14:textFill>
        </w:rPr>
      </w:pPr>
    </w:p>
    <w:p>
      <w:pPr>
        <w:adjustRightInd w:val="0"/>
        <w:snapToGrid w:val="0"/>
        <w:spacing w:line="360" w:lineRule="auto"/>
        <w:ind w:firstLine="643" w:firstLineChars="200"/>
        <w:outlineLvl w:val="2"/>
        <w:rPr>
          <w:rFonts w:ascii="Times New Roman" w:hAnsi="Times New Roman" w:eastAsia="楷体"/>
          <w:b/>
          <w:color w:val="000000" w:themeColor="text1"/>
          <w:sz w:val="32"/>
          <w:szCs w:val="27"/>
          <w14:textFill>
            <w14:solidFill>
              <w14:schemeClr w14:val="tx1"/>
            </w14:solidFill>
          </w14:textFill>
        </w:rPr>
      </w:pPr>
      <w:bookmarkStart w:id="180" w:name="_Toc6060"/>
      <w:bookmarkStart w:id="181" w:name="_Toc89203792"/>
      <w:r>
        <w:rPr>
          <w:rFonts w:ascii="Times New Roman" w:hAnsi="Times New Roman" w:eastAsia="楷体"/>
          <w:b/>
          <w:color w:val="000000" w:themeColor="text1"/>
          <w:sz w:val="32"/>
          <w:szCs w:val="27"/>
          <w14:textFill>
            <w14:solidFill>
              <w14:schemeClr w14:val="tx1"/>
            </w14:solidFill>
          </w14:textFill>
        </w:rPr>
        <w:t>（三）建立长效管理机制</w:t>
      </w:r>
      <w:bookmarkEnd w:id="180"/>
      <w:bookmarkEnd w:id="181"/>
    </w:p>
    <w:p>
      <w:pPr>
        <w:adjustRightInd w:val="0"/>
        <w:snapToGrid w:val="0"/>
        <w:spacing w:line="360" w:lineRule="auto"/>
        <w:ind w:firstLine="640" w:firstLineChars="200"/>
        <w:rPr>
          <w:rFonts w:ascii="Times New Roman" w:hAnsi="Times New Roman" w:eastAsia="仿宋"/>
          <w:color w:val="000000" w:themeColor="text1"/>
          <w:kern w:val="0"/>
          <w:sz w:val="32"/>
          <w:szCs w:val="32"/>
          <w14:textFill>
            <w14:solidFill>
              <w14:schemeClr w14:val="tx1"/>
            </w14:solidFill>
          </w14:textFill>
        </w:rPr>
      </w:pPr>
      <w:r>
        <w:rPr>
          <w:rFonts w:ascii="Times New Roman" w:hAnsi="Times New Roman" w:eastAsia="仿宋"/>
          <w:color w:val="000000" w:themeColor="text1"/>
          <w:kern w:val="0"/>
          <w:sz w:val="32"/>
          <w:szCs w:val="32"/>
          <w14:textFill>
            <w14:solidFill>
              <w14:schemeClr w14:val="tx1"/>
            </w14:solidFill>
          </w14:textFill>
        </w:rPr>
        <w:t>制定预拌混凝土生产、销售和使用长效管理机制，保障预拌混凝土生产和使用的健康、可持续发展。加强预拌混凝土企业资质管理，加大技术人员培养力度，强化试验室质量管理，保障预拌混凝土产品质量；依法依规保持对证照不全非法生产经营违法行为核查打击的高压态势，落实落细相关责任，坚决杜绝地方保护主义，保障预拌混凝土企业专项整治成效，淘汰落后产能，持续优化市场环境，维护企业合法权益，保护人居环境、保障建设质量。</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8522" w:type="dxa"/>
          </w:tcPr>
          <w:p>
            <w:pPr>
              <w:pStyle w:val="2"/>
              <w:kinsoku w:val="0"/>
              <w:overflowPunct w:val="0"/>
              <w:autoSpaceDE w:val="0"/>
              <w:autoSpaceDN w:val="0"/>
              <w:snapToGrid w:val="0"/>
              <w:spacing w:after="0" w:line="240" w:lineRule="auto"/>
              <w:jc w:val="center"/>
              <w:rPr>
                <w:rFonts w:eastAsia="仿宋"/>
                <w:b/>
                <w:color w:val="000000" w:themeColor="text1"/>
                <w14:textFill>
                  <w14:solidFill>
                    <w14:schemeClr w14:val="tx1"/>
                  </w14:solidFill>
                </w14:textFill>
              </w:rPr>
            </w:pPr>
            <w:r>
              <w:rPr>
                <w:rFonts w:hint="eastAsia" w:ascii="仿宋" w:hAnsi="仿宋" w:eastAsia="仿宋" w:cs="仿宋"/>
                <w:b/>
                <w:color w:val="000000" w:themeColor="text1"/>
                <w:sz w:val="28"/>
                <w14:textFill>
                  <w14:solidFill>
                    <w14:schemeClr w14:val="tx1"/>
                  </w14:solidFill>
                </w14:textFill>
              </w:rPr>
              <w:t>专栏一 预拌混凝土转型升级实施路径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8522" w:type="dxa"/>
          </w:tcPr>
          <w:p>
            <w:pPr>
              <w:pStyle w:val="2"/>
              <w:kinsoku w:val="0"/>
              <w:overflowPunct w:val="0"/>
              <w:autoSpaceDE w:val="0"/>
              <w:autoSpaceDN w:val="0"/>
              <w:snapToGrid w:val="0"/>
              <w:spacing w:after="0" w:line="360" w:lineRule="auto"/>
              <w:ind w:left="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1.优化预拌混凝土产能布局</w:t>
            </w:r>
          </w:p>
          <w:p>
            <w:pPr>
              <w:pStyle w:val="2"/>
              <w:kinsoku w:val="0"/>
              <w:overflowPunct w:val="0"/>
              <w:autoSpaceDE w:val="0"/>
              <w:autoSpaceDN w:val="0"/>
              <w:snapToGrid w:val="0"/>
              <w:spacing w:after="0" w:line="360" w:lineRule="auto"/>
              <w:ind w:left="0"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一是灵山县、钦南区、钦北区根据已有产能，重点结合平陆运河工程建设的需求，沿平陆运河航道路线适当新增站点布局；浦北县根据当地建设需求，在预拌混凝土供应紧缺区域新增站点布局。二是坚持集约化发展的原则，鼓励各县（区）产能利用率偏低区域企业通过合并、股权收购、资产收购、资产置换、债务重组等多种方式，实施强强联合、兼并改造困难企业和中小企业，鼓励预拌混凝土产能利用率过低区域生产线改造转产预拌砂浆，实现产能合理布局。</w:t>
            </w:r>
          </w:p>
          <w:p>
            <w:pPr>
              <w:pStyle w:val="2"/>
              <w:kinsoku w:val="0"/>
              <w:overflowPunct w:val="0"/>
              <w:autoSpaceDE w:val="0"/>
              <w:autoSpaceDN w:val="0"/>
              <w:snapToGrid w:val="0"/>
              <w:spacing w:after="0" w:line="360" w:lineRule="auto"/>
              <w:ind w:left="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2.大力发展培育优质企业</w:t>
            </w:r>
          </w:p>
          <w:p>
            <w:pPr>
              <w:pStyle w:val="2"/>
              <w:kinsoku w:val="0"/>
              <w:overflowPunct w:val="0"/>
              <w:autoSpaceDE w:val="0"/>
              <w:autoSpaceDN w:val="0"/>
              <w:snapToGrid w:val="0"/>
              <w:spacing w:after="0" w:line="360" w:lineRule="auto"/>
              <w:ind w:left="0"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一是加快开展企业绿色生产评价和绿色建材认证，对通过绿色生产星级评定的企业、符合高性能、绿色标准的产品，协调建设管理部门在信息价格上给予体现，并作为建设工程招投标、评优等评分条件。二是对通过绿色生产星级评定及绿色建材生产的企业，给予重点扶持，通过优先保障生产要素、优先扶持技术改造、优先提供资金支持、提高行政审批效率、落实人才政策、加大舆论宣传力度、实行动态管理制度等措施，使之尽快成为具有较大生产规模和较强配套能力的优势龙头企业,同时增强重点企业的凝聚力,发挥其示范带动作用,以点带面,引导全市预拌混凝土企业快速发展。三是根据《关于利用综合标准依法依规推动落后产能退出的指导意见》，以能耗、产业政策、环保、质量、安全等政策标准为依据，组织发展改革、环境保护、质量技术监督、安全生产监管等各主管部门，提出落后产能退出名单，由工信主管部门汇总并征求各成员单位意见后形成统一名单，倒逼落后产能退出。</w:t>
            </w:r>
          </w:p>
          <w:p>
            <w:pPr>
              <w:pStyle w:val="2"/>
              <w:kinsoku w:val="0"/>
              <w:overflowPunct w:val="0"/>
              <w:autoSpaceDE w:val="0"/>
              <w:autoSpaceDN w:val="0"/>
              <w:snapToGrid w:val="0"/>
              <w:spacing w:after="0" w:line="360" w:lineRule="auto"/>
              <w:ind w:left="0"/>
              <w:rPr>
                <w:rFonts w:ascii="仿宋" w:hAnsi="仿宋" w:eastAsia="仿宋" w:cs="仿宋"/>
                <w:color w:val="FF0000"/>
                <w:sz w:val="24"/>
              </w:rPr>
            </w:pPr>
            <w:r>
              <w:rPr>
                <w:rFonts w:hint="eastAsia" w:ascii="仿宋" w:hAnsi="仿宋" w:eastAsia="仿宋" w:cs="仿宋"/>
                <w:color w:val="FF0000"/>
                <w:sz w:val="24"/>
              </w:rPr>
              <w:t>3.</w:t>
            </w:r>
            <w:r>
              <w:rPr>
                <w:rFonts w:ascii="仿宋" w:hAnsi="仿宋" w:eastAsia="仿宋" w:cs="仿宋"/>
                <w:color w:val="FF0000"/>
                <w:sz w:val="24"/>
              </w:rPr>
              <w:t>加大产品研发力度</w:t>
            </w:r>
          </w:p>
          <w:p>
            <w:pPr>
              <w:pStyle w:val="2"/>
              <w:kinsoku w:val="0"/>
              <w:overflowPunct w:val="0"/>
              <w:autoSpaceDE w:val="0"/>
              <w:autoSpaceDN w:val="0"/>
              <w:snapToGrid w:val="0"/>
              <w:spacing w:after="0" w:line="360" w:lineRule="auto"/>
              <w:ind w:left="0" w:firstLine="480" w:firstLineChars="200"/>
              <w:rPr>
                <w:rFonts w:ascii="仿宋" w:hAnsi="仿宋" w:eastAsia="仿宋" w:cs="仿宋"/>
                <w:color w:val="FF0000"/>
                <w:sz w:val="24"/>
              </w:rPr>
            </w:pPr>
            <w:r>
              <w:rPr>
                <w:rFonts w:hint="eastAsia" w:ascii="仿宋" w:hAnsi="仿宋" w:eastAsia="仿宋" w:cs="仿宋"/>
                <w:color w:val="FF0000"/>
                <w:sz w:val="24"/>
                <w:lang w:val="en-US" w:eastAsia="zh-CN"/>
              </w:rPr>
              <w:t>加强功能型、专用型预拌混凝土开发应用。重点针对</w:t>
            </w:r>
            <w:r>
              <w:rPr>
                <w:rFonts w:hint="eastAsia" w:ascii="仿宋" w:hAnsi="仿宋" w:eastAsia="仿宋" w:cs="仿宋"/>
                <w:color w:val="FF0000"/>
                <w:sz w:val="24"/>
              </w:rPr>
              <w:t>平陆运河建设</w:t>
            </w:r>
            <w:r>
              <w:rPr>
                <w:rFonts w:hint="eastAsia" w:ascii="仿宋" w:hAnsi="仿宋" w:eastAsia="仿宋" w:cs="仿宋"/>
                <w:color w:val="FF0000"/>
                <w:sz w:val="24"/>
                <w:lang w:val="en-US" w:eastAsia="zh-CN"/>
              </w:rPr>
              <w:t>、海工等</w:t>
            </w:r>
            <w:r>
              <w:rPr>
                <w:rFonts w:hint="eastAsia" w:ascii="仿宋" w:hAnsi="仿宋" w:eastAsia="仿宋" w:cs="仿宋"/>
                <w:color w:val="FF0000"/>
                <w:sz w:val="24"/>
              </w:rPr>
              <w:t>专用混凝土</w:t>
            </w:r>
            <w:r>
              <w:rPr>
                <w:rFonts w:hint="eastAsia" w:ascii="仿宋" w:hAnsi="仿宋" w:eastAsia="仿宋" w:cs="仿宋"/>
                <w:color w:val="FF0000"/>
                <w:sz w:val="24"/>
                <w:lang w:val="en-US" w:eastAsia="zh-CN"/>
              </w:rPr>
              <w:t>开发</w:t>
            </w:r>
            <w:r>
              <w:rPr>
                <w:rFonts w:hint="eastAsia" w:ascii="仿宋" w:hAnsi="仿宋" w:eastAsia="仿宋" w:cs="仿宋"/>
                <w:color w:val="FF0000"/>
                <w:sz w:val="24"/>
              </w:rPr>
              <w:t>应用</w:t>
            </w:r>
            <w:r>
              <w:rPr>
                <w:rFonts w:hint="eastAsia" w:ascii="仿宋" w:hAnsi="仿宋" w:eastAsia="仿宋" w:cs="仿宋"/>
                <w:color w:val="FF0000"/>
                <w:sz w:val="24"/>
                <w:lang w:val="en-US" w:eastAsia="zh-CN"/>
              </w:rPr>
              <w:t>开展</w:t>
            </w:r>
            <w:r>
              <w:rPr>
                <w:rFonts w:hint="eastAsia" w:ascii="仿宋" w:hAnsi="仿宋" w:eastAsia="仿宋" w:cs="仿宋"/>
                <w:color w:val="FF0000"/>
                <w:sz w:val="24"/>
              </w:rPr>
              <w:t>研究</w:t>
            </w:r>
            <w:r>
              <w:rPr>
                <w:rFonts w:hint="eastAsia" w:ascii="仿宋" w:hAnsi="仿宋" w:eastAsia="仿宋" w:cs="仿宋"/>
                <w:color w:val="FF0000"/>
                <w:sz w:val="24"/>
                <w:lang w:val="en-US" w:eastAsia="zh-CN"/>
              </w:rPr>
              <w:t>和应用推广</w:t>
            </w:r>
            <w:r>
              <w:rPr>
                <w:rFonts w:hint="eastAsia" w:ascii="仿宋" w:hAnsi="仿宋" w:eastAsia="仿宋" w:cs="仿宋"/>
                <w:color w:val="FF0000"/>
                <w:sz w:val="24"/>
                <w:lang w:eastAsia="zh-CN"/>
              </w:rPr>
              <w:t>；</w:t>
            </w:r>
            <w:r>
              <w:rPr>
                <w:rFonts w:hint="eastAsia" w:ascii="仿宋" w:hAnsi="仿宋" w:eastAsia="仿宋" w:cs="仿宋"/>
                <w:color w:val="FF0000"/>
                <w:sz w:val="24"/>
              </w:rPr>
              <w:t>搭建研发平台，重点突破高性能混凝土原材料控制、配合比优化设计、质量控制、耐久性指标体系、工程设计以及抗震、酎火、抗裂等关键技术。建立协调机制，加强工程标准与产品标准的联动。</w:t>
            </w:r>
            <w:r>
              <w:rPr>
                <w:rFonts w:ascii="仿宋" w:hAnsi="仿宋" w:eastAsia="仿宋" w:cs="仿宋"/>
                <w:color w:val="FF0000"/>
                <w:sz w:val="24"/>
              </w:rPr>
              <w:t>推广智能制造技术</w:t>
            </w:r>
            <w:r>
              <w:rPr>
                <w:rFonts w:hint="eastAsia" w:ascii="仿宋" w:hAnsi="仿宋" w:eastAsia="仿宋" w:cs="仿宋"/>
                <w:color w:val="FF0000"/>
                <w:sz w:val="24"/>
              </w:rPr>
              <w:t>，</w:t>
            </w:r>
            <w:r>
              <w:rPr>
                <w:rFonts w:ascii="仿宋" w:hAnsi="仿宋" w:eastAsia="仿宋" w:cs="仿宋"/>
                <w:color w:val="FF0000"/>
                <w:sz w:val="24"/>
              </w:rPr>
              <w:t>建设智能化预拌混凝土搅拌站，加快推动混凝土产业互联网平台建设，促进大数据、云计算、5G、物联网、人工智能等信息技术与行业深度融合。</w:t>
            </w:r>
          </w:p>
          <w:p>
            <w:pPr>
              <w:pStyle w:val="2"/>
              <w:kinsoku w:val="0"/>
              <w:overflowPunct w:val="0"/>
              <w:autoSpaceDE w:val="0"/>
              <w:autoSpaceDN w:val="0"/>
              <w:snapToGrid w:val="0"/>
              <w:spacing w:after="0" w:line="360" w:lineRule="auto"/>
              <w:ind w:left="0" w:leftChars="0" w:firstLine="0" w:firstLineChars="0"/>
              <w:rPr>
                <w:rFonts w:ascii="仿宋" w:hAnsi="仿宋" w:eastAsia="仿宋" w:cs="仿宋"/>
                <w:color w:val="FF0000"/>
                <w:sz w:val="24"/>
              </w:rPr>
            </w:pPr>
            <w:r>
              <w:rPr>
                <w:rFonts w:hint="eastAsia" w:ascii="仿宋" w:hAnsi="仿宋" w:eastAsia="仿宋" w:cs="仿宋"/>
                <w:color w:val="FF0000"/>
                <w:sz w:val="24"/>
                <w:lang w:val="en-US" w:eastAsia="zh-CN"/>
              </w:rPr>
              <w:t>4.</w:t>
            </w:r>
            <w:r>
              <w:rPr>
                <w:rFonts w:ascii="仿宋" w:hAnsi="仿宋" w:eastAsia="仿宋" w:cs="仿宋"/>
                <w:color w:val="FF0000"/>
                <w:sz w:val="24"/>
              </w:rPr>
              <w:t>加强创新人才培养</w:t>
            </w:r>
          </w:p>
          <w:p>
            <w:pPr>
              <w:pStyle w:val="2"/>
              <w:kinsoku w:val="0"/>
              <w:overflowPunct w:val="0"/>
              <w:autoSpaceDE w:val="0"/>
              <w:autoSpaceDN w:val="0"/>
              <w:snapToGrid w:val="0"/>
              <w:spacing w:after="0" w:line="360" w:lineRule="auto"/>
              <w:ind w:left="0" w:leftChars="0" w:firstLine="480" w:firstLineChars="200"/>
              <w:rPr>
                <w:rFonts w:hint="eastAsia" w:ascii="仿宋" w:hAnsi="仿宋" w:eastAsia="仿宋" w:cs="仿宋"/>
                <w:color w:val="FF0000"/>
                <w:sz w:val="24"/>
                <w:lang w:val="en-US" w:eastAsia="zh-CN"/>
              </w:rPr>
            </w:pPr>
            <w:r>
              <w:rPr>
                <w:rFonts w:ascii="仿宋" w:hAnsi="仿宋" w:eastAsia="仿宋" w:cs="仿宋"/>
                <w:color w:val="FF0000"/>
                <w:sz w:val="24"/>
              </w:rPr>
              <w:t>依托企业技术研发中心等创新平台引进高层次人才，鼓励企业与大专院校共建实习实训基地，加强培训和实践，培养混凝土专业人才。广泛开展预拌混凝土行业技能竞赛，锻炼和发掘实用人才</w:t>
            </w:r>
            <w:r>
              <w:rPr>
                <w:rFonts w:hint="eastAsia" w:ascii="仿宋" w:hAnsi="仿宋" w:eastAsia="仿宋" w:cs="仿宋"/>
                <w:color w:val="FF0000"/>
                <w:sz w:val="24"/>
                <w:lang w:eastAsia="zh-CN"/>
              </w:rPr>
              <w:t>。</w:t>
            </w:r>
          </w:p>
          <w:p>
            <w:pPr>
              <w:pStyle w:val="2"/>
              <w:kinsoku w:val="0"/>
              <w:overflowPunct w:val="0"/>
              <w:autoSpaceDE w:val="0"/>
              <w:autoSpaceDN w:val="0"/>
              <w:snapToGrid w:val="0"/>
              <w:spacing w:after="0" w:line="360" w:lineRule="auto"/>
              <w:ind w:left="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5</w:t>
            </w:r>
            <w:r>
              <w:rPr>
                <w:rFonts w:hint="eastAsia" w:ascii="仿宋" w:hAnsi="仿宋" w:eastAsia="仿宋" w:cs="仿宋"/>
                <w:color w:val="000000" w:themeColor="text1"/>
                <w:sz w:val="24"/>
                <w14:textFill>
                  <w14:solidFill>
                    <w14:schemeClr w14:val="tx1"/>
                  </w14:solidFill>
                </w14:textFill>
              </w:rPr>
              <w:t>.提升监管效能</w:t>
            </w:r>
          </w:p>
          <w:p>
            <w:pPr>
              <w:pStyle w:val="2"/>
              <w:kinsoku w:val="0"/>
              <w:overflowPunct w:val="0"/>
              <w:autoSpaceDE w:val="0"/>
              <w:autoSpaceDN w:val="0"/>
              <w:snapToGrid w:val="0"/>
              <w:spacing w:after="0" w:line="360" w:lineRule="auto"/>
              <w:ind w:left="0"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一是</w:t>
            </w:r>
            <w:r>
              <w:rPr>
                <w:rFonts w:ascii="仿宋" w:hAnsi="仿宋" w:eastAsia="仿宋" w:cs="仿宋"/>
                <w:color w:val="000000" w:themeColor="text1"/>
                <w:sz w:val="24"/>
                <w14:textFill>
                  <w14:solidFill>
                    <w14:schemeClr w14:val="tx1"/>
                  </w14:solidFill>
                </w14:textFill>
              </w:rPr>
              <w:t>健全监管机制。制定出台预拌混凝土企业巡查管理办法，建立生产现场与施工现场联动监管机制，会同市场监督、生态环保等主管部门建立联合执法机制，形成监管合力，提升监管效率。</w:t>
            </w:r>
            <w:r>
              <w:rPr>
                <w:rFonts w:hint="eastAsia" w:ascii="仿宋" w:hAnsi="仿宋" w:eastAsia="仿宋" w:cs="仿宋"/>
                <w:color w:val="000000" w:themeColor="text1"/>
                <w:sz w:val="24"/>
                <w14:textFill>
                  <w14:solidFill>
                    <w14:schemeClr w14:val="tx1"/>
                  </w14:solidFill>
                </w14:textFill>
              </w:rPr>
              <w:t>二是</w:t>
            </w:r>
            <w:r>
              <w:rPr>
                <w:rFonts w:ascii="仿宋" w:hAnsi="仿宋" w:eastAsia="仿宋" w:cs="仿宋"/>
                <w:color w:val="000000" w:themeColor="text1"/>
                <w:sz w:val="24"/>
                <w14:textFill>
                  <w14:solidFill>
                    <w14:schemeClr w14:val="tx1"/>
                  </w14:solidFill>
                </w14:textFill>
              </w:rPr>
              <w:t>创新监管方式</w:t>
            </w:r>
            <w:r>
              <w:rPr>
                <w:rFonts w:hint="eastAsia" w:ascii="仿宋" w:hAnsi="仿宋" w:eastAsia="仿宋" w:cs="仿宋"/>
                <w:color w:val="000000" w:themeColor="text1"/>
                <w:sz w:val="24"/>
                <w14:textFill>
                  <w14:solidFill>
                    <w14:schemeClr w14:val="tx1"/>
                  </w14:solidFill>
                </w14:textFill>
              </w:rPr>
              <w:t>，</w:t>
            </w:r>
            <w:r>
              <w:rPr>
                <w:rFonts w:ascii="仿宋" w:hAnsi="仿宋" w:eastAsia="仿宋" w:cs="仿宋"/>
                <w:color w:val="000000" w:themeColor="text1"/>
                <w:sz w:val="24"/>
                <w14:textFill>
                  <w14:solidFill>
                    <w14:schemeClr w14:val="tx1"/>
                  </w14:solidFill>
                </w14:textFill>
              </w:rPr>
              <w:t>建立“互联网+”监管模式。结合企业诚信评价，推行差异化监管模式。</w:t>
            </w:r>
            <w:r>
              <w:rPr>
                <w:rFonts w:hint="eastAsia" w:ascii="仿宋" w:hAnsi="仿宋" w:eastAsia="仿宋" w:cs="仿宋"/>
                <w:color w:val="000000" w:themeColor="text1"/>
                <w:sz w:val="24"/>
                <w14:textFill>
                  <w14:solidFill>
                    <w14:schemeClr w14:val="tx1"/>
                  </w14:solidFill>
                </w14:textFill>
              </w:rPr>
              <w:t>三是</w:t>
            </w:r>
            <w:r>
              <w:rPr>
                <w:rFonts w:ascii="仿宋" w:hAnsi="仿宋" w:eastAsia="仿宋" w:cs="仿宋"/>
                <w:color w:val="000000" w:themeColor="text1"/>
                <w:sz w:val="24"/>
                <w14:textFill>
                  <w14:solidFill>
                    <w14:schemeClr w14:val="tx1"/>
                  </w14:solidFill>
                </w14:textFill>
              </w:rPr>
              <w:t>加强动态监管。推行日常监督巡查和“双随机、一公开”检查相结合的方式，重点打击无资质的非法场站，严肃查处出借、出租、出卖资质行为，惩处试验过程弄虚作假行为。加大企业资质动态核查力度，依法查处违规行为。</w:t>
            </w:r>
          </w:p>
        </w:tc>
      </w:tr>
    </w:tbl>
    <w:p>
      <w:pPr>
        <w:pStyle w:val="2"/>
        <w:ind w:left="0"/>
        <w:rPr>
          <w:color w:val="000000" w:themeColor="text1"/>
          <w14:textFill>
            <w14:solidFill>
              <w14:schemeClr w14:val="tx1"/>
            </w14:solidFill>
          </w14:textFill>
        </w:rPr>
      </w:pPr>
    </w:p>
    <w:p>
      <w:pPr>
        <w:keepNext/>
        <w:keepLines/>
        <w:adjustRightInd w:val="0"/>
        <w:snapToGrid w:val="0"/>
        <w:spacing w:line="360" w:lineRule="auto"/>
        <w:ind w:firstLine="640" w:firstLineChars="200"/>
        <w:outlineLvl w:val="1"/>
        <w:rPr>
          <w:rFonts w:ascii="Times New Roman" w:hAnsi="Times New Roman" w:eastAsia="黑体"/>
          <w:bCs/>
          <w:color w:val="000000" w:themeColor="text1"/>
          <w:sz w:val="32"/>
          <w:szCs w:val="26"/>
          <w14:textFill>
            <w14:solidFill>
              <w14:schemeClr w14:val="tx1"/>
            </w14:solidFill>
          </w14:textFill>
        </w:rPr>
      </w:pPr>
      <w:bookmarkStart w:id="182" w:name="_Toc20552"/>
      <w:bookmarkStart w:id="183" w:name="_Toc11137"/>
      <w:bookmarkStart w:id="184" w:name="_Toc17566"/>
      <w:bookmarkStart w:id="185" w:name="_Toc5998"/>
      <w:bookmarkStart w:id="186" w:name="_Toc6637"/>
      <w:bookmarkStart w:id="187" w:name="_Toc89203793"/>
      <w:bookmarkStart w:id="188" w:name="_Toc11674"/>
      <w:bookmarkStart w:id="189" w:name="_Toc8868"/>
      <w:bookmarkStart w:id="190" w:name="_Toc3091"/>
      <w:bookmarkStart w:id="191" w:name="_Toc20194"/>
      <w:bookmarkStart w:id="192" w:name="_Toc21332"/>
      <w:bookmarkStart w:id="193" w:name="_Toc7883"/>
      <w:r>
        <w:rPr>
          <w:rFonts w:ascii="Times New Roman" w:hAnsi="Times New Roman" w:eastAsia="黑体"/>
          <w:bCs/>
          <w:color w:val="000000" w:themeColor="text1"/>
          <w:sz w:val="32"/>
          <w:szCs w:val="26"/>
          <w14:textFill>
            <w14:solidFill>
              <w14:schemeClr w14:val="tx1"/>
            </w14:solidFill>
          </w14:textFill>
        </w:rPr>
        <w:t>二、科学规划，推动预拌砂浆快速发展</w:t>
      </w:r>
      <w:bookmarkEnd w:id="182"/>
      <w:bookmarkEnd w:id="183"/>
      <w:bookmarkEnd w:id="184"/>
      <w:bookmarkEnd w:id="185"/>
    </w:p>
    <w:bookmarkEnd w:id="172"/>
    <w:bookmarkEnd w:id="186"/>
    <w:bookmarkEnd w:id="187"/>
    <w:bookmarkEnd w:id="188"/>
    <w:bookmarkEnd w:id="189"/>
    <w:bookmarkEnd w:id="190"/>
    <w:bookmarkEnd w:id="191"/>
    <w:bookmarkEnd w:id="192"/>
    <w:bookmarkEnd w:id="193"/>
    <w:p>
      <w:pPr>
        <w:adjustRightInd w:val="0"/>
        <w:snapToGrid w:val="0"/>
        <w:spacing w:line="360" w:lineRule="auto"/>
        <w:ind w:firstLine="643" w:firstLineChars="200"/>
        <w:outlineLvl w:val="2"/>
        <w:rPr>
          <w:rFonts w:ascii="Times New Roman" w:hAnsi="Times New Roman" w:eastAsia="楷体"/>
          <w:b/>
          <w:color w:val="000000" w:themeColor="text1"/>
          <w:sz w:val="32"/>
          <w:szCs w:val="27"/>
          <w14:textFill>
            <w14:solidFill>
              <w14:schemeClr w14:val="tx1"/>
            </w14:solidFill>
          </w14:textFill>
        </w:rPr>
      </w:pPr>
      <w:bookmarkStart w:id="194" w:name="_Toc18159"/>
      <w:bookmarkStart w:id="195" w:name="_Toc89203794"/>
      <w:r>
        <w:rPr>
          <w:rFonts w:ascii="Times New Roman" w:hAnsi="Times New Roman" w:eastAsia="楷体"/>
          <w:b/>
          <w:color w:val="000000" w:themeColor="text1"/>
          <w:sz w:val="32"/>
          <w:szCs w:val="27"/>
          <w14:textFill>
            <w14:solidFill>
              <w14:schemeClr w14:val="tx1"/>
            </w14:solidFill>
          </w14:textFill>
        </w:rPr>
        <w:t>（一）科学规划、示范先行</w:t>
      </w:r>
      <w:bookmarkEnd w:id="194"/>
      <w:bookmarkEnd w:id="195"/>
    </w:p>
    <w:p>
      <w:pPr>
        <w:widowControl/>
        <w:adjustRightInd w:val="0"/>
        <w:snapToGrid w:val="0"/>
        <w:spacing w:line="360" w:lineRule="auto"/>
        <w:ind w:firstLine="640" w:firstLineChars="200"/>
        <w:rPr>
          <w:rFonts w:ascii="Times New Roman" w:hAnsi="Times New Roman" w:eastAsia="仿宋"/>
          <w:color w:val="000000" w:themeColor="text1"/>
          <w:sz w:val="32"/>
          <w:szCs w:val="32"/>
          <w14:textFill>
            <w14:solidFill>
              <w14:schemeClr w14:val="tx1"/>
            </w14:solidFill>
          </w14:textFill>
        </w:rPr>
      </w:pPr>
      <w:r>
        <w:rPr>
          <w:rFonts w:ascii="Times New Roman" w:hAnsi="Times New Roman" w:eastAsia="仿宋"/>
          <w:color w:val="000000" w:themeColor="text1"/>
          <w:sz w:val="32"/>
          <w:szCs w:val="32"/>
          <w14:textFill>
            <w14:solidFill>
              <w14:schemeClr w14:val="tx1"/>
            </w14:solidFill>
          </w14:textFill>
        </w:rPr>
        <w:t>1.科学规划，分步实施。围绕钦州市经济发展现状、区域周边环境、交通运输、产业基础和资源等条件，以市场需求和产能利用率两项指标进行综合考量，做好预拌砂浆生产线布局工作。积极融入粤港澳大湾区、西部陆海新通道建设，丰富产品种类和功能，分步实施、稳步推进、立足全局、着眼长远，避免出现利益驱动而盲目发展、恶性竞争的局面。有步骤地推进预拌砂浆企业建设，同时加强对预拌砂浆生产、产品运输的检查监督执法，确保预拌砂浆行业发展各环节的安全、环保、质量可靠。鼓励发展符合绿色建筑、海绵城市建设和装配式建筑发展需求的专用砂浆；鼓励预拌砂浆生产企业因地制宜利用工业废渣、城市建筑垃圾等再生原料生产；推广机械化施工技术，鼓励发展机喷砂浆。</w:t>
      </w:r>
    </w:p>
    <w:p>
      <w:pPr>
        <w:widowControl/>
        <w:adjustRightInd w:val="0"/>
        <w:snapToGrid w:val="0"/>
        <w:spacing w:line="360" w:lineRule="auto"/>
        <w:ind w:firstLine="640" w:firstLineChars="200"/>
        <w:jc w:val="left"/>
        <w:rPr>
          <w:rFonts w:ascii="Times New Roman" w:hAnsi="Times New Roman" w:eastAsia="仿宋"/>
          <w:color w:val="000000" w:themeColor="text1"/>
          <w:sz w:val="32"/>
          <w:szCs w:val="32"/>
          <w14:textFill>
            <w14:solidFill>
              <w14:schemeClr w14:val="tx1"/>
            </w14:solidFill>
          </w14:textFill>
        </w:rPr>
      </w:pPr>
      <w:r>
        <w:rPr>
          <w:rFonts w:ascii="Times New Roman" w:hAnsi="Times New Roman" w:eastAsia="仿宋"/>
          <w:color w:val="000000" w:themeColor="text1"/>
          <w:sz w:val="32"/>
          <w:szCs w:val="32"/>
          <w14:textFill>
            <w14:solidFill>
              <w14:schemeClr w14:val="tx1"/>
            </w14:solidFill>
          </w14:textFill>
        </w:rPr>
        <w:t>2.加强宣传与示范推广。围绕预拌砂浆的性能特点、经济效益、社会效益，利用多种渠道</w:t>
      </w:r>
      <w:r>
        <w:rPr>
          <w:rFonts w:hint="eastAsia" w:ascii="Times New Roman" w:hAnsi="Times New Roman" w:eastAsia="仿宋"/>
          <w:color w:val="000000" w:themeColor="text1"/>
          <w:sz w:val="32"/>
          <w:szCs w:val="32"/>
          <w14:textFill>
            <w14:solidFill>
              <w14:schemeClr w14:val="tx1"/>
            </w14:solidFill>
          </w14:textFill>
        </w:rPr>
        <w:t>进行广泛的</w:t>
      </w:r>
      <w:r>
        <w:rPr>
          <w:rFonts w:ascii="Times New Roman" w:hAnsi="Times New Roman" w:eastAsia="仿宋"/>
          <w:color w:val="000000" w:themeColor="text1"/>
          <w:sz w:val="32"/>
          <w:szCs w:val="32"/>
          <w14:textFill>
            <w14:solidFill>
              <w14:schemeClr w14:val="tx1"/>
            </w14:solidFill>
          </w14:textFill>
        </w:rPr>
        <w:t>宣传，转变社会对预拌砂浆的认识，逐步扩大使用预拌砂浆的区域范围和领域，提高预拌砂浆使用率；以政府建设项目、使用财政资金的项目、保障房项目、重点公共设施项目、大型建设项目为切入点，建立推广预拌砂浆应用示范工程。</w:t>
      </w:r>
    </w:p>
    <w:p>
      <w:pPr>
        <w:widowControl/>
        <w:adjustRightInd w:val="0"/>
        <w:snapToGrid w:val="0"/>
        <w:spacing w:line="360" w:lineRule="auto"/>
        <w:ind w:firstLine="643" w:firstLineChars="200"/>
        <w:jc w:val="left"/>
        <w:outlineLvl w:val="2"/>
        <w:rPr>
          <w:rFonts w:ascii="Times New Roman" w:hAnsi="Times New Roman" w:eastAsia="仿宋_GB2312"/>
          <w:color w:val="000000" w:themeColor="text1"/>
          <w:sz w:val="32"/>
          <w:szCs w:val="32"/>
          <w14:textFill>
            <w14:solidFill>
              <w14:schemeClr w14:val="tx1"/>
            </w14:solidFill>
          </w14:textFill>
        </w:rPr>
      </w:pPr>
      <w:bookmarkStart w:id="196" w:name="_Toc89203795"/>
      <w:bookmarkStart w:id="197" w:name="_Toc11467"/>
      <w:r>
        <w:rPr>
          <w:rFonts w:ascii="Times New Roman" w:hAnsi="Times New Roman" w:eastAsia="楷体"/>
          <w:b/>
          <w:color w:val="000000" w:themeColor="text1"/>
          <w:sz w:val="32"/>
          <w:szCs w:val="27"/>
          <w14:textFill>
            <w14:solidFill>
              <w14:schemeClr w14:val="tx1"/>
            </w14:solidFill>
          </w14:textFill>
        </w:rPr>
        <w:t>（二）坚持政策导向，提升行业信心</w:t>
      </w:r>
      <w:bookmarkEnd w:id="196"/>
    </w:p>
    <w:p>
      <w:pPr>
        <w:widowControl/>
        <w:adjustRightInd w:val="0"/>
        <w:snapToGrid w:val="0"/>
        <w:spacing w:line="360" w:lineRule="auto"/>
        <w:ind w:firstLine="640" w:firstLineChars="200"/>
        <w:jc w:val="left"/>
        <w:rPr>
          <w:rFonts w:ascii="Times New Roman" w:hAnsi="Times New Roman" w:eastAsia="仿宋"/>
          <w:color w:val="000000" w:themeColor="text1"/>
          <w:sz w:val="32"/>
          <w:szCs w:val="32"/>
          <w14:textFill>
            <w14:solidFill>
              <w14:schemeClr w14:val="tx1"/>
            </w14:solidFill>
          </w14:textFill>
        </w:rPr>
      </w:pPr>
      <w:r>
        <w:rPr>
          <w:rFonts w:ascii="Times New Roman" w:hAnsi="Times New Roman" w:eastAsia="仿宋"/>
          <w:color w:val="000000" w:themeColor="text1"/>
          <w:sz w:val="32"/>
          <w:szCs w:val="32"/>
          <w14:textFill>
            <w14:solidFill>
              <w14:schemeClr w14:val="tx1"/>
            </w14:solidFill>
          </w14:textFill>
        </w:rPr>
        <w:t>结合钦州市预拌砂浆企业发展实际，适时启动砂浆</w:t>
      </w:r>
      <w:r>
        <w:rPr>
          <w:rFonts w:hint="eastAsia" w:ascii="Times New Roman" w:hAnsi="Times New Roman" w:eastAsia="仿宋"/>
          <w:color w:val="000000" w:themeColor="text1"/>
          <w:sz w:val="32"/>
          <w:szCs w:val="32"/>
          <w14:textFill>
            <w14:solidFill>
              <w14:schemeClr w14:val="tx1"/>
            </w14:solidFill>
          </w14:textFill>
        </w:rPr>
        <w:t>“</w:t>
      </w:r>
      <w:r>
        <w:rPr>
          <w:rFonts w:ascii="Times New Roman" w:hAnsi="Times New Roman" w:eastAsia="仿宋"/>
          <w:color w:val="000000" w:themeColor="text1"/>
          <w:sz w:val="32"/>
          <w:szCs w:val="32"/>
          <w14:textFill>
            <w14:solidFill>
              <w14:schemeClr w14:val="tx1"/>
            </w14:solidFill>
          </w14:textFill>
        </w:rPr>
        <w:t>禁现</w:t>
      </w:r>
      <w:r>
        <w:rPr>
          <w:rFonts w:hint="eastAsia" w:ascii="Times New Roman" w:hAnsi="Times New Roman" w:eastAsia="仿宋"/>
          <w:color w:val="000000" w:themeColor="text1"/>
          <w:sz w:val="32"/>
          <w:szCs w:val="32"/>
          <w14:textFill>
            <w14:solidFill>
              <w14:schemeClr w14:val="tx1"/>
            </w14:solidFill>
          </w14:textFill>
        </w:rPr>
        <w:t>”</w:t>
      </w:r>
      <w:r>
        <w:rPr>
          <w:rFonts w:ascii="Times New Roman" w:hAnsi="Times New Roman" w:eastAsia="仿宋"/>
          <w:color w:val="000000" w:themeColor="text1"/>
          <w:sz w:val="32"/>
          <w:szCs w:val="32"/>
          <w14:textFill>
            <w14:solidFill>
              <w14:schemeClr w14:val="tx1"/>
            </w14:solidFill>
          </w14:textFill>
        </w:rPr>
        <w:t>工作，贯彻落实国家、自治区有关禁止使用现场搅拌砂浆政策和规定，加大推广应用力度，积极推进全市砂浆</w:t>
      </w:r>
      <w:r>
        <w:rPr>
          <w:rFonts w:hint="eastAsia" w:ascii="Times New Roman" w:hAnsi="Times New Roman" w:eastAsia="仿宋"/>
          <w:color w:val="000000" w:themeColor="text1"/>
          <w:sz w:val="32"/>
          <w:szCs w:val="32"/>
          <w14:textFill>
            <w14:solidFill>
              <w14:schemeClr w14:val="tx1"/>
            </w14:solidFill>
          </w14:textFill>
        </w:rPr>
        <w:t>“</w:t>
      </w:r>
      <w:r>
        <w:rPr>
          <w:rFonts w:ascii="Times New Roman" w:hAnsi="Times New Roman" w:eastAsia="仿宋"/>
          <w:color w:val="000000" w:themeColor="text1"/>
          <w:sz w:val="32"/>
          <w:szCs w:val="32"/>
          <w14:textFill>
            <w14:solidFill>
              <w14:schemeClr w14:val="tx1"/>
            </w14:solidFill>
          </w14:textFill>
        </w:rPr>
        <w:t>禁现</w:t>
      </w:r>
      <w:r>
        <w:rPr>
          <w:rFonts w:hint="eastAsia" w:ascii="Times New Roman" w:hAnsi="Times New Roman" w:eastAsia="仿宋"/>
          <w:color w:val="000000" w:themeColor="text1"/>
          <w:sz w:val="32"/>
          <w:szCs w:val="32"/>
          <w14:textFill>
            <w14:solidFill>
              <w14:schemeClr w14:val="tx1"/>
            </w14:solidFill>
          </w14:textFill>
        </w:rPr>
        <w:t>”</w:t>
      </w:r>
      <w:r>
        <w:rPr>
          <w:rFonts w:ascii="Times New Roman" w:hAnsi="Times New Roman" w:eastAsia="仿宋"/>
          <w:color w:val="000000" w:themeColor="text1"/>
          <w:sz w:val="32"/>
          <w:szCs w:val="32"/>
          <w14:textFill>
            <w14:solidFill>
              <w14:schemeClr w14:val="tx1"/>
            </w14:solidFill>
          </w14:textFill>
        </w:rPr>
        <w:t>进程。规划期内加快出台砂浆</w:t>
      </w:r>
      <w:r>
        <w:rPr>
          <w:rFonts w:hint="eastAsia" w:ascii="Times New Roman" w:hAnsi="Times New Roman" w:eastAsia="仿宋"/>
          <w:color w:val="000000" w:themeColor="text1"/>
          <w:sz w:val="32"/>
          <w:szCs w:val="32"/>
          <w14:textFill>
            <w14:solidFill>
              <w14:schemeClr w14:val="tx1"/>
            </w14:solidFill>
          </w14:textFill>
        </w:rPr>
        <w:t>“</w:t>
      </w:r>
      <w:r>
        <w:rPr>
          <w:rFonts w:ascii="Times New Roman" w:hAnsi="Times New Roman" w:eastAsia="仿宋"/>
          <w:color w:val="000000" w:themeColor="text1"/>
          <w:sz w:val="32"/>
          <w:szCs w:val="32"/>
          <w14:textFill>
            <w14:solidFill>
              <w14:schemeClr w14:val="tx1"/>
            </w14:solidFill>
          </w14:textFill>
        </w:rPr>
        <w:t>禁现</w:t>
      </w:r>
      <w:r>
        <w:rPr>
          <w:rFonts w:hint="eastAsia" w:ascii="Times New Roman" w:hAnsi="Times New Roman" w:eastAsia="仿宋"/>
          <w:color w:val="000000" w:themeColor="text1"/>
          <w:sz w:val="32"/>
          <w:szCs w:val="32"/>
          <w14:textFill>
            <w14:solidFill>
              <w14:schemeClr w14:val="tx1"/>
            </w14:solidFill>
          </w14:textFill>
        </w:rPr>
        <w:t>”</w:t>
      </w:r>
      <w:r>
        <w:rPr>
          <w:rFonts w:ascii="Times New Roman" w:hAnsi="Times New Roman" w:eastAsia="仿宋"/>
          <w:color w:val="000000" w:themeColor="text1"/>
          <w:sz w:val="32"/>
          <w:szCs w:val="32"/>
          <w14:textFill>
            <w14:solidFill>
              <w14:schemeClr w14:val="tx1"/>
            </w14:solidFill>
          </w14:textFill>
        </w:rPr>
        <w:t>政策，明确砂浆</w:t>
      </w:r>
      <w:r>
        <w:rPr>
          <w:rFonts w:hint="eastAsia" w:ascii="Times New Roman" w:hAnsi="Times New Roman" w:eastAsia="仿宋"/>
          <w:color w:val="000000" w:themeColor="text1"/>
          <w:sz w:val="32"/>
          <w:szCs w:val="32"/>
          <w14:textFill>
            <w14:solidFill>
              <w14:schemeClr w14:val="tx1"/>
            </w14:solidFill>
          </w14:textFill>
        </w:rPr>
        <w:t>“</w:t>
      </w:r>
      <w:r>
        <w:rPr>
          <w:rFonts w:ascii="Times New Roman" w:hAnsi="Times New Roman" w:eastAsia="仿宋"/>
          <w:color w:val="000000" w:themeColor="text1"/>
          <w:sz w:val="32"/>
          <w:szCs w:val="32"/>
          <w14:textFill>
            <w14:solidFill>
              <w14:schemeClr w14:val="tx1"/>
            </w14:solidFill>
          </w14:textFill>
        </w:rPr>
        <w:t>禁现</w:t>
      </w:r>
      <w:r>
        <w:rPr>
          <w:rFonts w:hint="eastAsia" w:ascii="Times New Roman" w:hAnsi="Times New Roman" w:eastAsia="仿宋"/>
          <w:color w:val="000000" w:themeColor="text1"/>
          <w:sz w:val="32"/>
          <w:szCs w:val="32"/>
          <w14:textFill>
            <w14:solidFill>
              <w14:schemeClr w14:val="tx1"/>
            </w14:solidFill>
          </w14:textFill>
        </w:rPr>
        <w:t>”</w:t>
      </w:r>
      <w:r>
        <w:rPr>
          <w:rFonts w:ascii="Times New Roman" w:hAnsi="Times New Roman" w:eastAsia="仿宋"/>
          <w:color w:val="000000" w:themeColor="text1"/>
          <w:sz w:val="32"/>
          <w:szCs w:val="32"/>
          <w14:textFill>
            <w14:solidFill>
              <w14:schemeClr w14:val="tx1"/>
            </w14:solidFill>
          </w14:textFill>
        </w:rPr>
        <w:t>区域与覆盖范围，并由城市向城镇农村逐年扩展砂浆</w:t>
      </w:r>
      <w:r>
        <w:rPr>
          <w:rFonts w:hint="eastAsia" w:ascii="Times New Roman" w:hAnsi="Times New Roman" w:eastAsia="仿宋"/>
          <w:color w:val="000000" w:themeColor="text1"/>
          <w:sz w:val="32"/>
          <w:szCs w:val="32"/>
          <w14:textFill>
            <w14:solidFill>
              <w14:schemeClr w14:val="tx1"/>
            </w14:solidFill>
          </w14:textFill>
        </w:rPr>
        <w:t>“</w:t>
      </w:r>
      <w:r>
        <w:rPr>
          <w:rFonts w:ascii="Times New Roman" w:hAnsi="Times New Roman" w:eastAsia="仿宋"/>
          <w:color w:val="000000" w:themeColor="text1"/>
          <w:sz w:val="32"/>
          <w:szCs w:val="32"/>
          <w14:textFill>
            <w14:solidFill>
              <w14:schemeClr w14:val="tx1"/>
            </w14:solidFill>
          </w14:textFill>
        </w:rPr>
        <w:t>禁现</w:t>
      </w:r>
      <w:r>
        <w:rPr>
          <w:rFonts w:hint="eastAsia" w:ascii="Times New Roman" w:hAnsi="Times New Roman" w:eastAsia="仿宋"/>
          <w:color w:val="000000" w:themeColor="text1"/>
          <w:sz w:val="32"/>
          <w:szCs w:val="32"/>
          <w14:textFill>
            <w14:solidFill>
              <w14:schemeClr w14:val="tx1"/>
            </w14:solidFill>
          </w14:textFill>
        </w:rPr>
        <w:t>”</w:t>
      </w:r>
      <w:r>
        <w:rPr>
          <w:rFonts w:ascii="Times New Roman" w:hAnsi="Times New Roman" w:eastAsia="仿宋"/>
          <w:color w:val="000000" w:themeColor="text1"/>
          <w:sz w:val="32"/>
          <w:szCs w:val="32"/>
          <w14:textFill>
            <w14:solidFill>
              <w14:schemeClr w14:val="tx1"/>
            </w14:solidFill>
          </w14:textFill>
        </w:rPr>
        <w:t>区域范围。同时完善相关配套政策，加大政策供给，出台奖惩管理办法，充分发挥政策引导作用，提升行业信心，激发市场活力。</w:t>
      </w:r>
    </w:p>
    <w:p>
      <w:pPr>
        <w:adjustRightInd w:val="0"/>
        <w:snapToGrid w:val="0"/>
        <w:spacing w:line="360" w:lineRule="auto"/>
        <w:ind w:firstLine="643" w:firstLineChars="200"/>
        <w:outlineLvl w:val="2"/>
        <w:rPr>
          <w:rFonts w:ascii="Times New Roman" w:hAnsi="Times New Roman" w:eastAsia="楷体"/>
          <w:b/>
          <w:color w:val="000000" w:themeColor="text1"/>
          <w:sz w:val="32"/>
          <w:szCs w:val="27"/>
          <w14:textFill>
            <w14:solidFill>
              <w14:schemeClr w14:val="tx1"/>
            </w14:solidFill>
          </w14:textFill>
        </w:rPr>
      </w:pPr>
      <w:bookmarkStart w:id="198" w:name="_Toc89203796"/>
      <w:r>
        <w:rPr>
          <w:rFonts w:ascii="Times New Roman" w:hAnsi="Times New Roman" w:eastAsia="楷体"/>
          <w:b/>
          <w:color w:val="000000" w:themeColor="text1"/>
          <w:sz w:val="32"/>
          <w:szCs w:val="27"/>
          <w14:textFill>
            <w14:solidFill>
              <w14:schemeClr w14:val="tx1"/>
            </w14:solidFill>
          </w14:textFill>
        </w:rPr>
        <w:t>（三）加强规范管理，创新发展模式</w:t>
      </w:r>
      <w:bookmarkEnd w:id="197"/>
      <w:bookmarkEnd w:id="198"/>
    </w:p>
    <w:p>
      <w:pPr>
        <w:widowControl/>
        <w:adjustRightInd w:val="0"/>
        <w:snapToGrid w:val="0"/>
        <w:spacing w:line="360" w:lineRule="auto"/>
        <w:ind w:firstLine="640" w:firstLineChars="200"/>
        <w:jc w:val="left"/>
        <w:rPr>
          <w:rFonts w:ascii="Times New Roman" w:hAnsi="Times New Roman" w:eastAsia="仿宋"/>
          <w:color w:val="000000" w:themeColor="text1"/>
          <w:sz w:val="32"/>
          <w:szCs w:val="32"/>
          <w14:textFill>
            <w14:solidFill>
              <w14:schemeClr w14:val="tx1"/>
            </w14:solidFill>
          </w14:textFill>
        </w:rPr>
      </w:pPr>
      <w:r>
        <w:rPr>
          <w:rFonts w:ascii="Times New Roman" w:hAnsi="Times New Roman" w:eastAsia="仿宋"/>
          <w:color w:val="000000" w:themeColor="text1"/>
          <w:sz w:val="32"/>
          <w:szCs w:val="32"/>
          <w14:textFill>
            <w14:solidFill>
              <w14:schemeClr w14:val="tx1"/>
            </w14:solidFill>
          </w14:textFill>
        </w:rPr>
        <w:t>制定预拌砂浆行业发展规范条件，加强准入管理，着力打好</w:t>
      </w:r>
      <w:r>
        <w:rPr>
          <w:rFonts w:hint="eastAsia" w:ascii="Times New Roman" w:hAnsi="Times New Roman" w:eastAsia="仿宋"/>
          <w:color w:val="000000" w:themeColor="text1"/>
          <w:sz w:val="32"/>
          <w:szCs w:val="32"/>
          <w14:textFill>
            <w14:solidFill>
              <w14:schemeClr w14:val="tx1"/>
            </w14:solidFill>
          </w14:textFill>
        </w:rPr>
        <w:t>“</w:t>
      </w:r>
      <w:r>
        <w:rPr>
          <w:rFonts w:ascii="Times New Roman" w:hAnsi="Times New Roman" w:eastAsia="仿宋"/>
          <w:color w:val="000000" w:themeColor="text1"/>
          <w:sz w:val="32"/>
          <w:szCs w:val="32"/>
          <w14:textFill>
            <w14:solidFill>
              <w14:schemeClr w14:val="tx1"/>
            </w14:solidFill>
          </w14:textFill>
        </w:rPr>
        <w:t>绿色牌</w:t>
      </w:r>
      <w:r>
        <w:rPr>
          <w:rFonts w:hint="eastAsia" w:ascii="Times New Roman" w:hAnsi="Times New Roman" w:eastAsia="仿宋"/>
          <w:color w:val="000000" w:themeColor="text1"/>
          <w:sz w:val="32"/>
          <w:szCs w:val="32"/>
          <w14:textFill>
            <w14:solidFill>
              <w14:schemeClr w14:val="tx1"/>
            </w14:solidFill>
          </w14:textFill>
        </w:rPr>
        <w:t>”</w:t>
      </w:r>
      <w:r>
        <w:rPr>
          <w:rFonts w:ascii="Times New Roman" w:hAnsi="Times New Roman" w:eastAsia="仿宋"/>
          <w:color w:val="000000" w:themeColor="text1"/>
          <w:sz w:val="32"/>
          <w:szCs w:val="32"/>
          <w14:textFill>
            <w14:solidFill>
              <w14:schemeClr w14:val="tx1"/>
            </w14:solidFill>
          </w14:textFill>
        </w:rPr>
        <w:t>，符合规划布点和绿色生产要求的项目方允许建设；鼓励新建预拌砂浆企业加大研发技改投入，在满足产品性能的前提下，积极应用新材料、新技术，提高资源综合利用率，提升行业发展后劲。落实落细砂浆质量责任管理措施，创新预拌砂浆发展模式，鼓励预拌砂浆生产企业开展</w:t>
      </w:r>
      <w:r>
        <w:rPr>
          <w:rFonts w:hint="eastAsia" w:ascii="Times New Roman" w:hAnsi="Times New Roman" w:eastAsia="仿宋"/>
          <w:color w:val="000000" w:themeColor="text1"/>
          <w:sz w:val="32"/>
          <w:szCs w:val="32"/>
          <w14:textFill>
            <w14:solidFill>
              <w14:schemeClr w14:val="tx1"/>
            </w14:solidFill>
          </w14:textFill>
        </w:rPr>
        <w:t>“</w:t>
      </w:r>
      <w:r>
        <w:rPr>
          <w:rFonts w:ascii="Times New Roman" w:hAnsi="Times New Roman" w:eastAsia="仿宋"/>
          <w:color w:val="000000" w:themeColor="text1"/>
          <w:sz w:val="32"/>
          <w:szCs w:val="32"/>
          <w14:textFill>
            <w14:solidFill>
              <w14:schemeClr w14:val="tx1"/>
            </w14:solidFill>
          </w14:textFill>
        </w:rPr>
        <w:t>生产施工一体化</w:t>
      </w:r>
      <w:r>
        <w:rPr>
          <w:rFonts w:hint="eastAsia" w:ascii="Times New Roman" w:hAnsi="Times New Roman" w:eastAsia="仿宋"/>
          <w:color w:val="000000" w:themeColor="text1"/>
          <w:sz w:val="32"/>
          <w:szCs w:val="32"/>
          <w14:textFill>
            <w14:solidFill>
              <w14:schemeClr w14:val="tx1"/>
            </w14:solidFill>
          </w14:textFill>
        </w:rPr>
        <w:t>”</w:t>
      </w:r>
      <w:r>
        <w:rPr>
          <w:rFonts w:ascii="Times New Roman" w:hAnsi="Times New Roman" w:eastAsia="仿宋"/>
          <w:color w:val="000000" w:themeColor="text1"/>
          <w:sz w:val="32"/>
          <w:szCs w:val="32"/>
          <w14:textFill>
            <w14:solidFill>
              <w14:schemeClr w14:val="tx1"/>
            </w14:solidFill>
          </w14:textFill>
        </w:rPr>
        <w:t>服务。</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8522" w:type="dxa"/>
          </w:tcPr>
          <w:p>
            <w:pPr>
              <w:pStyle w:val="2"/>
              <w:kinsoku w:val="0"/>
              <w:overflowPunct w:val="0"/>
              <w:autoSpaceDE w:val="0"/>
              <w:autoSpaceDN w:val="0"/>
              <w:snapToGrid w:val="0"/>
              <w:spacing w:after="0" w:line="240" w:lineRule="auto"/>
              <w:jc w:val="center"/>
              <w:rPr>
                <w:rFonts w:ascii="仿宋" w:hAnsi="仿宋" w:eastAsia="仿宋" w:cs="仿宋"/>
                <w:b/>
                <w:color w:val="000000" w:themeColor="text1"/>
                <w:sz w:val="28"/>
                <w14:textFill>
                  <w14:solidFill>
                    <w14:schemeClr w14:val="tx1"/>
                  </w14:solidFill>
                </w14:textFill>
              </w:rPr>
            </w:pPr>
            <w:r>
              <w:rPr>
                <w:rFonts w:hint="eastAsia" w:ascii="仿宋" w:hAnsi="仿宋" w:eastAsia="仿宋" w:cs="仿宋"/>
                <w:b/>
                <w:color w:val="000000" w:themeColor="text1"/>
                <w:sz w:val="28"/>
                <w14:textFill>
                  <w14:solidFill>
                    <w14:schemeClr w14:val="tx1"/>
                  </w14:solidFill>
                </w14:textFill>
              </w:rPr>
              <w:t>专栏二 预拌砂浆快速发展专项行动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9" w:hRule="atLeast"/>
        </w:trPr>
        <w:tc>
          <w:tcPr>
            <w:tcW w:w="8522" w:type="dxa"/>
          </w:tcPr>
          <w:p>
            <w:pPr>
              <w:pStyle w:val="2"/>
              <w:kinsoku w:val="0"/>
              <w:overflowPunct w:val="0"/>
              <w:autoSpaceDE w:val="0"/>
              <w:autoSpaceDN w:val="0"/>
              <w:snapToGrid w:val="0"/>
              <w:spacing w:after="0" w:line="360" w:lineRule="auto"/>
              <w:ind w:left="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1.科学规划预拌砂浆发展</w:t>
            </w:r>
          </w:p>
          <w:p>
            <w:pPr>
              <w:pStyle w:val="2"/>
              <w:kinsoku w:val="0"/>
              <w:overflowPunct w:val="0"/>
              <w:autoSpaceDE w:val="0"/>
              <w:autoSpaceDN w:val="0"/>
              <w:snapToGrid w:val="0"/>
              <w:spacing w:after="0" w:line="360" w:lineRule="auto"/>
              <w:ind w:left="0"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一是预拌砂浆布点应</w:t>
            </w:r>
            <w:r>
              <w:rPr>
                <w:rFonts w:ascii="仿宋" w:hAnsi="仿宋" w:eastAsia="仿宋" w:cs="仿宋"/>
                <w:color w:val="000000" w:themeColor="text1"/>
                <w:sz w:val="24"/>
                <w14:textFill>
                  <w14:solidFill>
                    <w14:schemeClr w14:val="tx1"/>
                  </w14:solidFill>
                </w14:textFill>
              </w:rPr>
              <w:t>符合城市发展建设规划、土地政策、环保要求和散装水泥发展规划要求。</w:t>
            </w:r>
            <w:r>
              <w:rPr>
                <w:rFonts w:hint="eastAsia" w:ascii="仿宋" w:hAnsi="仿宋" w:eastAsia="仿宋" w:cs="仿宋"/>
                <w:color w:val="000000" w:themeColor="text1"/>
                <w:sz w:val="24"/>
                <w14:textFill>
                  <w14:solidFill>
                    <w14:schemeClr w14:val="tx1"/>
                  </w14:solidFill>
                </w14:textFill>
              </w:rPr>
              <w:t>二是</w:t>
            </w:r>
            <w:r>
              <w:rPr>
                <w:rFonts w:ascii="仿宋" w:hAnsi="仿宋" w:eastAsia="仿宋" w:cs="仿宋"/>
                <w:color w:val="000000" w:themeColor="text1"/>
                <w:sz w:val="24"/>
                <w14:textFill>
                  <w14:solidFill>
                    <w14:schemeClr w14:val="tx1"/>
                  </w14:solidFill>
                </w14:textFill>
              </w:rPr>
              <w:t>规范建设</w:t>
            </w:r>
            <w:r>
              <w:rPr>
                <w:rFonts w:hint="eastAsia" w:ascii="仿宋" w:hAnsi="仿宋" w:eastAsia="仿宋" w:cs="仿宋"/>
                <w:color w:val="000000" w:themeColor="text1"/>
                <w:sz w:val="24"/>
                <w14:textFill>
                  <w14:solidFill>
                    <w14:schemeClr w14:val="tx1"/>
                  </w14:solidFill>
                </w14:textFill>
              </w:rPr>
              <w:t>，</w:t>
            </w:r>
            <w:r>
              <w:rPr>
                <w:rFonts w:ascii="仿宋" w:hAnsi="仿宋" w:eastAsia="仿宋" w:cs="仿宋"/>
                <w:color w:val="000000" w:themeColor="text1"/>
                <w:sz w:val="24"/>
                <w14:textFill>
                  <w14:solidFill>
                    <w14:schemeClr w14:val="tx1"/>
                  </w14:solidFill>
                </w14:textFill>
              </w:rPr>
              <w:t>新建预拌砂浆生产项目，必须经</w:t>
            </w:r>
            <w:r>
              <w:rPr>
                <w:rFonts w:hint="eastAsia" w:ascii="仿宋" w:hAnsi="仿宋" w:eastAsia="仿宋" w:cs="仿宋"/>
                <w:color w:val="000000" w:themeColor="text1"/>
                <w:sz w:val="24"/>
                <w14:textFill>
                  <w14:solidFill>
                    <w14:schemeClr w14:val="tx1"/>
                  </w14:solidFill>
                </w14:textFill>
              </w:rPr>
              <w:t>钦州市绿色建材发展和应用中心</w:t>
            </w:r>
            <w:r>
              <w:rPr>
                <w:rFonts w:ascii="仿宋" w:hAnsi="仿宋" w:eastAsia="仿宋" w:cs="仿宋"/>
                <w:color w:val="000000" w:themeColor="text1"/>
                <w:sz w:val="24"/>
                <w14:textFill>
                  <w14:solidFill>
                    <w14:schemeClr w14:val="tx1"/>
                  </w14:solidFill>
                </w14:textFill>
              </w:rPr>
              <w:t>同意，并持有绿色建材发展和应用中心出具的同意项目开工建设文件。</w:t>
            </w:r>
          </w:p>
          <w:p>
            <w:pPr>
              <w:pStyle w:val="2"/>
              <w:kinsoku w:val="0"/>
              <w:overflowPunct w:val="0"/>
              <w:autoSpaceDE w:val="0"/>
              <w:autoSpaceDN w:val="0"/>
              <w:snapToGrid w:val="0"/>
              <w:spacing w:after="0" w:line="360" w:lineRule="auto"/>
              <w:ind w:left="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2.政策引导预拌砂浆推广应用</w:t>
            </w:r>
          </w:p>
          <w:p>
            <w:pPr>
              <w:pStyle w:val="2"/>
              <w:kinsoku w:val="0"/>
              <w:overflowPunct w:val="0"/>
              <w:autoSpaceDE w:val="0"/>
              <w:autoSpaceDN w:val="0"/>
              <w:snapToGrid w:val="0"/>
              <w:spacing w:after="0" w:line="360" w:lineRule="auto"/>
              <w:ind w:left="0"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规划期内加快出台砂浆“禁现”政策，并由城市向城镇农村逐年扩展砂浆“禁现”区域范围。按照先试点后推广，先中心城区后向外辐射的原则，分阶段禁止施工现场搅拌砂浆，逐步推广使用预拌砂浆。第一阶段（2022-2023年）：推广使用预拌砂浆试点阶段。钦南区主城区政府性资金投资的新开工工程项目施工现场禁止现场搅拌砂浆，全部使用预拌砂浆，其他新开工建设项目鼓励使用预拌砂浆。第二阶段（2024年）：推广使用预拌砂浆扩大阶段。灵山县、浦北县、钦南区、钦北区主城区范围内属于政府性资金投资的工程项目新开工工程施工现场禁止现场搅拌砂浆，全部使用预拌砂浆，其他新开工建设项目鼓励使用预拌砂浆。第三阶段（2025年）钦州市主城区全面推广使用预拌砂浆。灵山县、浦北县、钦南区、钦北区主城区范围内。所有建设工程施工现场禁止现场搅拌砂浆，全部使用预拌砂浆。其余乡镇根据本地实际情况逐步推广应用预拌砂浆。</w:t>
            </w:r>
          </w:p>
          <w:p>
            <w:pPr>
              <w:pStyle w:val="2"/>
              <w:kinsoku w:val="0"/>
              <w:overflowPunct w:val="0"/>
              <w:autoSpaceDE w:val="0"/>
              <w:autoSpaceDN w:val="0"/>
              <w:snapToGrid w:val="0"/>
              <w:spacing w:after="0" w:line="360" w:lineRule="auto"/>
              <w:ind w:left="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3.提高预拌砂浆行业创新能力</w:t>
            </w:r>
          </w:p>
          <w:p>
            <w:pPr>
              <w:pStyle w:val="2"/>
              <w:kinsoku w:val="0"/>
              <w:overflowPunct w:val="0"/>
              <w:autoSpaceDE w:val="0"/>
              <w:autoSpaceDN w:val="0"/>
              <w:snapToGrid w:val="0"/>
              <w:spacing w:after="0" w:line="360" w:lineRule="auto"/>
              <w:ind w:left="0" w:firstLine="480" w:firstLineChars="200"/>
              <w:rPr>
                <w:rFonts w:ascii="微软雅黑" w:hAnsi="微软雅黑" w:eastAsia="微软雅黑" w:cs="微软雅黑"/>
                <w:color w:val="000000" w:themeColor="text1"/>
                <w:sz w:val="24"/>
                <w:shd w:val="clear" w:color="auto" w:fill="FFFFFF"/>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鼓励预拌砂浆企业在生产过程中合理使用粉煤灰、脱硫灰渣和工业尾矿等一般工业固体废物制造人工机制砂，减少天然机制砂的使用。鼓励有条件的企业实施机械化施工，提升机喷砂浆的施工性能和质量。</w:t>
            </w:r>
          </w:p>
        </w:tc>
      </w:tr>
    </w:tbl>
    <w:p>
      <w:pPr>
        <w:pStyle w:val="2"/>
        <w:rPr>
          <w:color w:val="000000" w:themeColor="text1"/>
          <w14:textFill>
            <w14:solidFill>
              <w14:schemeClr w14:val="tx1"/>
            </w14:solidFill>
          </w14:textFill>
        </w:rPr>
      </w:pPr>
    </w:p>
    <w:p>
      <w:pPr>
        <w:keepNext/>
        <w:keepLines/>
        <w:adjustRightInd w:val="0"/>
        <w:snapToGrid w:val="0"/>
        <w:spacing w:line="360" w:lineRule="auto"/>
        <w:ind w:firstLine="640" w:firstLineChars="200"/>
        <w:outlineLvl w:val="1"/>
        <w:rPr>
          <w:rFonts w:ascii="Times New Roman" w:hAnsi="Times New Roman" w:eastAsia="黑体"/>
          <w:bCs/>
          <w:color w:val="000000" w:themeColor="text1"/>
          <w:sz w:val="32"/>
          <w:szCs w:val="26"/>
          <w14:textFill>
            <w14:solidFill>
              <w14:schemeClr w14:val="tx1"/>
            </w14:solidFill>
          </w14:textFill>
        </w:rPr>
      </w:pPr>
      <w:bookmarkStart w:id="199" w:name="_Toc12542"/>
      <w:bookmarkStart w:id="200" w:name="_Toc21223"/>
      <w:bookmarkStart w:id="201" w:name="_Toc19812"/>
      <w:bookmarkStart w:id="202" w:name="_Toc6791"/>
      <w:bookmarkStart w:id="203" w:name="_Toc1591"/>
      <w:bookmarkStart w:id="204" w:name="_Toc89203797"/>
      <w:bookmarkStart w:id="205" w:name="_Toc23549"/>
      <w:bookmarkStart w:id="206" w:name="_Toc18722"/>
      <w:bookmarkStart w:id="207" w:name="_Toc29817"/>
      <w:bookmarkStart w:id="208" w:name="_Toc7539"/>
      <w:bookmarkStart w:id="209" w:name="_Toc5714"/>
      <w:bookmarkStart w:id="210" w:name="_Toc2584"/>
      <w:bookmarkStart w:id="211" w:name="_Toc19483"/>
      <w:r>
        <w:rPr>
          <w:rFonts w:ascii="Times New Roman" w:hAnsi="Times New Roman" w:eastAsia="黑体"/>
          <w:bCs/>
          <w:color w:val="000000" w:themeColor="text1"/>
          <w:sz w:val="32"/>
          <w:szCs w:val="26"/>
          <w14:textFill>
            <w14:solidFill>
              <w14:schemeClr w14:val="tx1"/>
            </w14:solidFill>
          </w14:textFill>
        </w:rPr>
        <w:t>三、培育新动能，开拓和规范乡镇农村市场</w:t>
      </w:r>
      <w:bookmarkEnd w:id="199"/>
      <w:bookmarkEnd w:id="200"/>
      <w:bookmarkEnd w:id="201"/>
      <w:bookmarkEnd w:id="202"/>
      <w:bookmarkEnd w:id="203"/>
      <w:bookmarkEnd w:id="204"/>
      <w:bookmarkEnd w:id="205"/>
      <w:bookmarkEnd w:id="206"/>
      <w:bookmarkEnd w:id="207"/>
      <w:bookmarkEnd w:id="208"/>
      <w:bookmarkEnd w:id="209"/>
      <w:bookmarkEnd w:id="210"/>
      <w:bookmarkEnd w:id="211"/>
    </w:p>
    <w:p>
      <w:pPr>
        <w:adjustRightInd w:val="0"/>
        <w:snapToGrid w:val="0"/>
        <w:spacing w:line="360" w:lineRule="auto"/>
        <w:ind w:firstLine="643" w:firstLineChars="200"/>
        <w:outlineLvl w:val="2"/>
        <w:rPr>
          <w:rFonts w:ascii="Times New Roman" w:hAnsi="Times New Roman" w:eastAsia="楷体"/>
          <w:b/>
          <w:color w:val="000000" w:themeColor="text1"/>
          <w:sz w:val="32"/>
          <w:szCs w:val="27"/>
          <w14:textFill>
            <w14:solidFill>
              <w14:schemeClr w14:val="tx1"/>
            </w14:solidFill>
          </w14:textFill>
        </w:rPr>
      </w:pPr>
      <w:bookmarkStart w:id="212" w:name="_Toc89203798"/>
      <w:bookmarkStart w:id="213" w:name="_Toc30148"/>
      <w:r>
        <w:rPr>
          <w:rFonts w:ascii="Times New Roman" w:hAnsi="Times New Roman" w:eastAsia="楷体"/>
          <w:b/>
          <w:color w:val="000000" w:themeColor="text1"/>
          <w:sz w:val="32"/>
          <w:szCs w:val="27"/>
          <w14:textFill>
            <w14:solidFill>
              <w14:schemeClr w14:val="tx1"/>
            </w14:solidFill>
          </w14:textFill>
        </w:rPr>
        <w:t>（一）积极引导，实施试点示范</w:t>
      </w:r>
      <w:bookmarkEnd w:id="212"/>
      <w:bookmarkEnd w:id="213"/>
    </w:p>
    <w:p>
      <w:pPr>
        <w:adjustRightInd w:val="0"/>
        <w:snapToGrid w:val="0"/>
        <w:spacing w:line="360" w:lineRule="auto"/>
        <w:ind w:firstLine="640" w:firstLineChars="200"/>
        <w:rPr>
          <w:rFonts w:ascii="Times New Roman" w:hAnsi="Times New Roman" w:eastAsia="仿宋"/>
          <w:color w:val="000000" w:themeColor="text1"/>
          <w:kern w:val="0"/>
          <w:sz w:val="32"/>
          <w:szCs w:val="32"/>
          <w14:textFill>
            <w14:solidFill>
              <w14:schemeClr w14:val="tx1"/>
            </w14:solidFill>
          </w14:textFill>
        </w:rPr>
      </w:pPr>
      <w:r>
        <w:rPr>
          <w:rFonts w:ascii="Times New Roman" w:hAnsi="Times New Roman" w:eastAsia="仿宋"/>
          <w:color w:val="000000" w:themeColor="text1"/>
          <w:kern w:val="0"/>
          <w:sz w:val="32"/>
          <w:szCs w:val="32"/>
          <w14:textFill>
            <w14:solidFill>
              <w14:schemeClr w14:val="tx1"/>
            </w14:solidFill>
          </w14:textFill>
        </w:rPr>
        <w:t>1.引导开拓预拌混凝土、预拌砂浆乡镇农村市场。</w:t>
      </w:r>
      <w:r>
        <w:rPr>
          <w:rFonts w:hint="eastAsia" w:ascii="Times New Roman" w:hAnsi="Times New Roman" w:eastAsia="仿宋"/>
          <w:color w:val="000000" w:themeColor="text1"/>
          <w:kern w:val="0"/>
          <w:sz w:val="32"/>
          <w:szCs w:val="32"/>
          <w14:textFill>
            <w14:solidFill>
              <w14:schemeClr w14:val="tx1"/>
            </w14:solidFill>
          </w14:textFill>
        </w:rPr>
        <w:t>推进农村、小城镇预拌混凝土的应用，重点抓好新农村基础设施建设、小城镇建设和农田水利基础设施对散装水泥与预拌混凝土的使用，扩大预拌混凝土的使用量。</w:t>
      </w:r>
    </w:p>
    <w:p>
      <w:pPr>
        <w:adjustRightInd w:val="0"/>
        <w:snapToGrid w:val="0"/>
        <w:spacing w:line="360" w:lineRule="auto"/>
        <w:ind w:firstLine="640" w:firstLineChars="200"/>
        <w:rPr>
          <w:rFonts w:ascii="Times New Roman" w:hAnsi="Times New Roman" w:eastAsia="仿宋"/>
          <w:color w:val="000000" w:themeColor="text1"/>
          <w:kern w:val="0"/>
          <w:sz w:val="32"/>
          <w:szCs w:val="32"/>
          <w14:textFill>
            <w14:solidFill>
              <w14:schemeClr w14:val="tx1"/>
            </w14:solidFill>
          </w14:textFill>
        </w:rPr>
      </w:pPr>
      <w:r>
        <w:rPr>
          <w:rFonts w:ascii="Times New Roman" w:hAnsi="Times New Roman" w:eastAsia="仿宋"/>
          <w:color w:val="000000" w:themeColor="text1"/>
          <w:kern w:val="0"/>
          <w:sz w:val="32"/>
          <w:szCs w:val="32"/>
          <w14:textFill>
            <w14:solidFill>
              <w14:schemeClr w14:val="tx1"/>
            </w14:solidFill>
          </w14:textFill>
        </w:rPr>
        <w:t>2.推行预拌混凝土、预拌砂浆下乡试点。实施预拌混凝土、预拌砂浆下乡试点工作，鼓励农户建房使用预拌混凝土、预拌砂浆；探索农村散装水泥应用新模式，鼓励生产企业采取直供销售方式，减少流通环节，满足农村市场需求，逐步建立农村预拌混凝土、预拌砂浆供应服务体系。</w:t>
      </w:r>
    </w:p>
    <w:p>
      <w:pPr>
        <w:adjustRightInd w:val="0"/>
        <w:snapToGrid w:val="0"/>
        <w:spacing w:line="360" w:lineRule="auto"/>
        <w:ind w:firstLine="643" w:firstLineChars="200"/>
        <w:outlineLvl w:val="2"/>
        <w:rPr>
          <w:rFonts w:ascii="Times New Roman" w:hAnsi="Times New Roman" w:eastAsia="楷体"/>
          <w:b/>
          <w:color w:val="000000" w:themeColor="text1"/>
          <w:sz w:val="32"/>
          <w:szCs w:val="27"/>
          <w14:textFill>
            <w14:solidFill>
              <w14:schemeClr w14:val="tx1"/>
            </w14:solidFill>
          </w14:textFill>
        </w:rPr>
      </w:pPr>
      <w:bookmarkStart w:id="214" w:name="_Toc89203799"/>
      <w:bookmarkStart w:id="215" w:name="_Toc5452"/>
      <w:r>
        <w:rPr>
          <w:rFonts w:ascii="Times New Roman" w:hAnsi="Times New Roman" w:eastAsia="楷体"/>
          <w:b/>
          <w:color w:val="000000" w:themeColor="text1"/>
          <w:sz w:val="32"/>
          <w:szCs w:val="27"/>
          <w14:textFill>
            <w14:solidFill>
              <w14:schemeClr w14:val="tx1"/>
            </w14:solidFill>
          </w14:textFill>
        </w:rPr>
        <w:t>（二）发展特色产品，实施差异化管理</w:t>
      </w:r>
      <w:bookmarkEnd w:id="214"/>
      <w:bookmarkEnd w:id="215"/>
    </w:p>
    <w:p>
      <w:pPr>
        <w:adjustRightInd w:val="0"/>
        <w:snapToGrid w:val="0"/>
        <w:spacing w:line="360" w:lineRule="auto"/>
        <w:ind w:firstLine="640" w:firstLineChars="200"/>
        <w:rPr>
          <w:rFonts w:ascii="Times New Roman" w:hAnsi="Times New Roman" w:eastAsia="仿宋"/>
          <w:color w:val="000000" w:themeColor="text1"/>
          <w:kern w:val="0"/>
          <w:sz w:val="32"/>
          <w:szCs w:val="32"/>
          <w14:textFill>
            <w14:solidFill>
              <w14:schemeClr w14:val="tx1"/>
            </w14:solidFill>
          </w14:textFill>
        </w:rPr>
      </w:pPr>
      <w:r>
        <w:rPr>
          <w:rFonts w:ascii="Times New Roman" w:hAnsi="Times New Roman" w:eastAsia="仿宋"/>
          <w:color w:val="000000" w:themeColor="text1"/>
          <w:kern w:val="0"/>
          <w:sz w:val="32"/>
          <w:szCs w:val="32"/>
          <w14:textFill>
            <w14:solidFill>
              <w14:schemeClr w14:val="tx1"/>
            </w14:solidFill>
          </w14:textFill>
        </w:rPr>
        <w:t>鼓励企业积极研制开发和生产供应符合新农村建设发展需要的预拌混凝土、预拌砂浆及水泥制品等特色产品。制定落实相关标准及规范条件等指导乡镇市场使用预拌混凝土、预拌砂浆及水泥制品的生产、使用和监管，实行差异化管理。鼓励配置适合农村道路、施工条件的运输车辆和泵送等设备，乡镇预拌混凝土企业需规范混凝土配比设计、产品检测等质量管理。</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8522" w:type="dxa"/>
          </w:tcPr>
          <w:p>
            <w:pPr>
              <w:pStyle w:val="2"/>
              <w:kinsoku w:val="0"/>
              <w:overflowPunct w:val="0"/>
              <w:autoSpaceDE w:val="0"/>
              <w:autoSpaceDN w:val="0"/>
              <w:snapToGrid w:val="0"/>
              <w:spacing w:after="0" w:line="240" w:lineRule="auto"/>
              <w:jc w:val="center"/>
              <w:rPr>
                <w:rFonts w:ascii="仿宋" w:hAnsi="仿宋" w:eastAsia="仿宋" w:cs="仿宋"/>
                <w:b/>
                <w:color w:val="000000" w:themeColor="text1"/>
                <w:sz w:val="28"/>
                <w14:textFill>
                  <w14:solidFill>
                    <w14:schemeClr w14:val="tx1"/>
                  </w14:solidFill>
                </w14:textFill>
              </w:rPr>
            </w:pPr>
            <w:r>
              <w:rPr>
                <w:rFonts w:hint="eastAsia" w:ascii="仿宋" w:hAnsi="仿宋" w:eastAsia="仿宋" w:cs="仿宋"/>
                <w:b/>
                <w:color w:val="000000" w:themeColor="text1"/>
                <w:sz w:val="28"/>
                <w14:textFill>
                  <w14:solidFill>
                    <w14:schemeClr w14:val="tx1"/>
                  </w14:solidFill>
                </w14:textFill>
              </w:rPr>
              <w:t>专栏三 乡镇农村市场开拓专项行动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pStyle w:val="2"/>
              <w:kinsoku w:val="0"/>
              <w:overflowPunct w:val="0"/>
              <w:autoSpaceDE w:val="0"/>
              <w:autoSpaceDN w:val="0"/>
              <w:snapToGrid w:val="0"/>
              <w:spacing w:after="0" w:line="360" w:lineRule="auto"/>
              <w:ind w:left="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1.建立组织机构，落实责任制</w:t>
            </w:r>
          </w:p>
          <w:p>
            <w:pPr>
              <w:pStyle w:val="2"/>
              <w:kinsoku w:val="0"/>
              <w:overflowPunct w:val="0"/>
              <w:autoSpaceDE w:val="0"/>
              <w:autoSpaceDN w:val="0"/>
              <w:snapToGrid w:val="0"/>
              <w:spacing w:after="0" w:line="360" w:lineRule="auto"/>
              <w:ind w:left="0"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由</w:t>
            </w:r>
            <w:r>
              <w:rPr>
                <w:rFonts w:hint="eastAsia" w:ascii="仿宋" w:hAnsi="仿宋" w:eastAsia="仿宋" w:cs="仿宋"/>
                <w:color w:val="000000" w:themeColor="text1"/>
                <w:sz w:val="24"/>
                <w14:textFill>
                  <w14:solidFill>
                    <w14:schemeClr w14:val="tx1"/>
                  </w14:solidFill>
                </w14:textFill>
              </w:rPr>
              <w:t>政府各</w:t>
            </w:r>
            <w:r>
              <w:rPr>
                <w:rFonts w:ascii="仿宋" w:hAnsi="仿宋" w:eastAsia="仿宋" w:cs="仿宋"/>
                <w:color w:val="000000" w:themeColor="text1"/>
                <w:sz w:val="24"/>
                <w14:textFill>
                  <w14:solidFill>
                    <w14:schemeClr w14:val="tx1"/>
                  </w14:solidFill>
                </w14:textFill>
              </w:rPr>
              <w:t>部门以及试点乡镇（街道）组成预拌混凝土下乡工作领导小组，部门协同配合，理顺各环节的关系，确保工作畅通，政策落实，任务着地。</w:t>
            </w:r>
          </w:p>
          <w:p>
            <w:pPr>
              <w:adjustRightInd w:val="0"/>
              <w:snapToGrid w:val="0"/>
              <w:spacing w:line="360" w:lineRule="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2.找准切入点，</w:t>
            </w:r>
            <w:r>
              <w:rPr>
                <w:rFonts w:ascii="仿宋" w:hAnsi="仿宋" w:eastAsia="仿宋" w:cs="仿宋"/>
                <w:color w:val="000000" w:themeColor="text1"/>
                <w:sz w:val="24"/>
                <w:szCs w:val="24"/>
                <w14:textFill>
                  <w14:solidFill>
                    <w14:schemeClr w14:val="tx1"/>
                  </w14:solidFill>
                </w14:textFill>
              </w:rPr>
              <w:t>开拓农村市场</w:t>
            </w:r>
          </w:p>
          <w:p>
            <w:pPr>
              <w:adjustRightInd w:val="0"/>
              <w:snapToGrid w:val="0"/>
              <w:spacing w:line="360" w:lineRule="auto"/>
              <w:ind w:firstLine="480" w:firstLineChars="200"/>
              <w:rPr>
                <w:rFonts w:ascii="仿宋" w:hAnsi="仿宋" w:eastAsia="仿宋" w:cs="仿宋"/>
                <w:color w:val="000000" w:themeColor="text1"/>
                <w:sz w:val="24"/>
                <w:szCs w:val="24"/>
                <w14:textFill>
                  <w14:solidFill>
                    <w14:schemeClr w14:val="tx1"/>
                  </w14:solidFill>
                </w14:textFill>
              </w:rPr>
            </w:pPr>
            <w:r>
              <w:rPr>
                <w:rFonts w:ascii="仿宋" w:hAnsi="仿宋" w:eastAsia="仿宋" w:cs="仿宋"/>
                <w:color w:val="000000" w:themeColor="text1"/>
                <w:sz w:val="24"/>
                <w:szCs w:val="24"/>
                <w14:textFill>
                  <w14:solidFill>
                    <w14:schemeClr w14:val="tx1"/>
                  </w14:solidFill>
                </w14:textFill>
              </w:rPr>
              <w:t>结合新农村建设、乡村振兴、新型城镇化建设重点，</w:t>
            </w:r>
            <w:r>
              <w:rPr>
                <w:rFonts w:hint="eastAsia" w:ascii="仿宋" w:hAnsi="仿宋" w:eastAsia="仿宋" w:cs="仿宋"/>
                <w:color w:val="000000" w:themeColor="text1"/>
                <w:sz w:val="24"/>
                <w:szCs w:val="24"/>
                <w14:textFill>
                  <w14:solidFill>
                    <w14:schemeClr w14:val="tx1"/>
                  </w14:solidFill>
                </w14:textFill>
              </w:rPr>
              <w:t>鼓励引导</w:t>
            </w:r>
            <w:r>
              <w:rPr>
                <w:rFonts w:ascii="仿宋" w:hAnsi="仿宋" w:eastAsia="仿宋" w:cs="仿宋"/>
                <w:color w:val="000000" w:themeColor="text1"/>
                <w:sz w:val="24"/>
                <w:szCs w:val="24"/>
                <w14:textFill>
                  <w14:solidFill>
                    <w14:schemeClr w14:val="tx1"/>
                  </w14:solidFill>
                </w14:textFill>
              </w:rPr>
              <w:t>以政府主导的新农村基础设施建设、移民搬迁安置、农村危旧房改造、农村公路升级建设、危桥改造、乡村联网公路、老旧县乡油路改造、农田水利设施建设等建设工程项目</w:t>
            </w:r>
            <w:r>
              <w:rPr>
                <w:rFonts w:hint="eastAsia" w:ascii="仿宋" w:hAnsi="仿宋" w:eastAsia="仿宋" w:cs="仿宋"/>
                <w:color w:val="000000" w:themeColor="text1"/>
                <w:sz w:val="24"/>
                <w:szCs w:val="24"/>
                <w14:textFill>
                  <w14:solidFill>
                    <w14:schemeClr w14:val="tx1"/>
                  </w14:solidFill>
                </w14:textFill>
              </w:rPr>
              <w:t>广泛使用预拌混凝土</w:t>
            </w:r>
            <w:r>
              <w:rPr>
                <w:rFonts w:ascii="仿宋" w:hAnsi="仿宋" w:eastAsia="仿宋" w:cs="仿宋"/>
                <w:color w:val="000000" w:themeColor="text1"/>
                <w:sz w:val="24"/>
                <w:szCs w:val="24"/>
                <w14:textFill>
                  <w14:solidFill>
                    <w14:schemeClr w14:val="tx1"/>
                  </w14:solidFill>
                </w14:textFill>
              </w:rPr>
              <w:t>，引导</w:t>
            </w:r>
            <w:r>
              <w:rPr>
                <w:rFonts w:hint="eastAsia" w:ascii="仿宋" w:hAnsi="仿宋" w:eastAsia="仿宋" w:cs="仿宋"/>
                <w:color w:val="000000" w:themeColor="text1"/>
                <w:sz w:val="24"/>
                <w:szCs w:val="24"/>
                <w14:textFill>
                  <w14:solidFill>
                    <w14:schemeClr w14:val="tx1"/>
                  </w14:solidFill>
                </w14:textFill>
              </w:rPr>
              <w:t>龙头</w:t>
            </w:r>
            <w:r>
              <w:rPr>
                <w:rFonts w:ascii="仿宋" w:hAnsi="仿宋" w:eastAsia="仿宋" w:cs="仿宋"/>
                <w:color w:val="000000" w:themeColor="text1"/>
                <w:sz w:val="24"/>
                <w:szCs w:val="24"/>
                <w14:textFill>
                  <w14:solidFill>
                    <w14:schemeClr w14:val="tx1"/>
                  </w14:solidFill>
                </w14:textFill>
              </w:rPr>
              <w:t>预拌混凝土企业向乡镇农村供应预拌混凝土，积极开拓农村市场。</w:t>
            </w:r>
          </w:p>
          <w:p>
            <w:pPr>
              <w:pStyle w:val="2"/>
              <w:kinsoku w:val="0"/>
              <w:overflowPunct w:val="0"/>
              <w:autoSpaceDE w:val="0"/>
              <w:autoSpaceDN w:val="0"/>
              <w:snapToGrid w:val="0"/>
              <w:spacing w:after="0" w:line="360" w:lineRule="auto"/>
              <w:ind w:left="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3.全方位开展宣传，实施试点示范</w:t>
            </w:r>
          </w:p>
          <w:p>
            <w:pPr>
              <w:pStyle w:val="2"/>
              <w:kinsoku w:val="0"/>
              <w:overflowPunct w:val="0"/>
              <w:autoSpaceDE w:val="0"/>
              <w:autoSpaceDN w:val="0"/>
              <w:snapToGrid w:val="0"/>
              <w:spacing w:after="0" w:line="360" w:lineRule="auto"/>
              <w:ind w:left="0"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一是突出主要区域。以中心村农居点等为主要应用区域，进村入户，现场宣传使用预拌混凝土在节能环保、建房质量、施工安全等方面优越性；二是突出潜在用户。由试点乡镇组织召开潜在用户座谈会，解惑释疑，算好综合成本账，消除建房农户的各种顾虑。同时让用户与企业对接互动，了解预拌混凝土的质量、计量和售后服务，让更多的农户敢用愿用；三是突出各类载体。除张贴宣传画、发放资料、设台宣传、LED屏幕等常规宣传方式外，通过召开动员会、座谈会、讲座、开展农户接待日和进企业活动，邀请当地主流媒体多方位采访、报道，拍摄开展预拌混凝土下乡试点工作及现场施工的场景向全社会报道。.</w:t>
            </w:r>
          </w:p>
          <w:p>
            <w:pPr>
              <w:pStyle w:val="2"/>
              <w:kinsoku w:val="0"/>
              <w:overflowPunct w:val="0"/>
              <w:autoSpaceDE w:val="0"/>
              <w:autoSpaceDN w:val="0"/>
              <w:snapToGrid w:val="0"/>
              <w:spacing w:after="0" w:line="360" w:lineRule="auto"/>
              <w:ind w:left="0"/>
              <w:rPr>
                <w:rFonts w:ascii="仿宋" w:hAnsi="仿宋" w:eastAsia="仿宋" w:cs="仿宋"/>
                <w:color w:val="FF0000"/>
                <w:sz w:val="24"/>
              </w:rPr>
            </w:pPr>
            <w:r>
              <w:rPr>
                <w:rFonts w:hint="eastAsia" w:ascii="仿宋" w:hAnsi="仿宋" w:eastAsia="仿宋" w:cs="仿宋"/>
                <w:color w:val="FF0000"/>
                <w:sz w:val="24"/>
              </w:rPr>
              <w:t>4.出台农民建房补助政策，发挥政策导向作用。</w:t>
            </w:r>
          </w:p>
          <w:p>
            <w:pPr>
              <w:pStyle w:val="2"/>
              <w:kinsoku w:val="0"/>
              <w:overflowPunct w:val="0"/>
              <w:autoSpaceDE w:val="0"/>
              <w:autoSpaceDN w:val="0"/>
              <w:snapToGrid w:val="0"/>
              <w:spacing w:after="0" w:line="360" w:lineRule="auto"/>
              <w:ind w:left="0" w:firstLine="480" w:firstLineChars="200"/>
              <w:rPr>
                <w:rFonts w:ascii="仿宋" w:hAnsi="仿宋" w:eastAsia="仿宋" w:cs="仿宋"/>
                <w:color w:val="FF0000"/>
                <w:sz w:val="24"/>
              </w:rPr>
            </w:pPr>
            <w:r>
              <w:rPr>
                <w:rFonts w:hint="eastAsia" w:ascii="仿宋" w:hAnsi="仿宋" w:eastAsia="仿宋" w:cs="仿宋"/>
                <w:color w:val="FF0000"/>
                <w:sz w:val="24"/>
              </w:rPr>
              <w:t>试点县（区）结合当地实际，制定预拌混凝土下乡的配套政策，积极引导农户使用预拌混凝土。</w:t>
            </w:r>
          </w:p>
          <w:p>
            <w:pPr>
              <w:pStyle w:val="2"/>
              <w:kinsoku w:val="0"/>
              <w:overflowPunct w:val="0"/>
              <w:autoSpaceDE w:val="0"/>
              <w:autoSpaceDN w:val="0"/>
              <w:snapToGrid w:val="0"/>
              <w:spacing w:after="0" w:line="360" w:lineRule="auto"/>
              <w:ind w:left="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5.发展特色产品，实施差异化管理</w:t>
            </w:r>
          </w:p>
          <w:p>
            <w:pPr>
              <w:pStyle w:val="2"/>
              <w:kinsoku w:val="0"/>
              <w:overflowPunct w:val="0"/>
              <w:autoSpaceDE w:val="0"/>
              <w:autoSpaceDN w:val="0"/>
              <w:snapToGrid w:val="0"/>
              <w:spacing w:after="0" w:line="360" w:lineRule="auto"/>
              <w:ind w:left="0"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开发适用农村建房的混凝土标号，由相关权威部门为农村建房量身定做，开发</w:t>
            </w:r>
            <w:r>
              <w:rPr>
                <w:rFonts w:hint="eastAsia" w:ascii="仿宋" w:hAnsi="仿宋" w:eastAsia="仿宋" w:cs="仿宋"/>
                <w:color w:val="000000" w:themeColor="text1"/>
                <w:sz w:val="24"/>
                <w14:textFill>
                  <w14:solidFill>
                    <w14:schemeClr w14:val="tx1"/>
                  </w14:solidFill>
                </w14:textFill>
              </w:rPr>
              <w:t>合适</w:t>
            </w:r>
            <w:r>
              <w:rPr>
                <w:rFonts w:ascii="仿宋" w:hAnsi="仿宋" w:eastAsia="仿宋" w:cs="仿宋"/>
                <w:color w:val="000000" w:themeColor="text1"/>
                <w:sz w:val="24"/>
                <w14:textFill>
                  <w14:solidFill>
                    <w14:schemeClr w14:val="tx1"/>
                  </w14:solidFill>
                </w14:textFill>
              </w:rPr>
              <w:t>的混凝土产品</w:t>
            </w:r>
            <w:r>
              <w:rPr>
                <w:rFonts w:hint="eastAsia" w:ascii="仿宋" w:hAnsi="仿宋" w:eastAsia="仿宋" w:cs="仿宋"/>
                <w:color w:val="000000" w:themeColor="text1"/>
                <w:sz w:val="24"/>
                <w14:textFill>
                  <w14:solidFill>
                    <w14:schemeClr w14:val="tx1"/>
                  </w14:solidFill>
                </w14:textFill>
              </w:rPr>
              <w:t>。将乡镇纳入当地混凝土行业管理范围，尽快制定准入标准和监管措施。鼓励预拌混凝土企业在主要集镇、中心乡镇、村庄集中配置适合农村道路、施工条件的小型运输和泵送等设备，促进预拌混凝土下乡。</w:t>
            </w:r>
          </w:p>
        </w:tc>
      </w:tr>
    </w:tbl>
    <w:p>
      <w:pPr>
        <w:pStyle w:val="2"/>
        <w:rPr>
          <w:color w:val="000000" w:themeColor="text1"/>
          <w14:textFill>
            <w14:solidFill>
              <w14:schemeClr w14:val="tx1"/>
            </w14:solidFill>
          </w14:textFill>
        </w:rPr>
      </w:pPr>
    </w:p>
    <w:bookmarkEnd w:id="173"/>
    <w:bookmarkEnd w:id="174"/>
    <w:bookmarkEnd w:id="175"/>
    <w:p>
      <w:pPr>
        <w:keepNext/>
        <w:keepLines/>
        <w:adjustRightInd w:val="0"/>
        <w:snapToGrid w:val="0"/>
        <w:spacing w:line="360" w:lineRule="auto"/>
        <w:ind w:firstLine="640" w:firstLineChars="200"/>
        <w:outlineLvl w:val="1"/>
        <w:rPr>
          <w:rFonts w:ascii="Times New Roman" w:hAnsi="Times New Roman" w:eastAsia="黑体"/>
          <w:bCs/>
          <w:color w:val="000000" w:themeColor="text1"/>
          <w:sz w:val="32"/>
          <w:szCs w:val="26"/>
          <w14:textFill>
            <w14:solidFill>
              <w14:schemeClr w14:val="tx1"/>
            </w14:solidFill>
          </w14:textFill>
        </w:rPr>
      </w:pPr>
      <w:bookmarkStart w:id="216" w:name="_Toc26348"/>
      <w:bookmarkStart w:id="217" w:name="_Toc8922"/>
      <w:bookmarkStart w:id="218" w:name="_Toc8189"/>
      <w:bookmarkStart w:id="219" w:name="_Toc1871"/>
      <w:bookmarkStart w:id="220" w:name="_Toc89203800"/>
      <w:bookmarkStart w:id="221" w:name="_Toc15711"/>
      <w:bookmarkStart w:id="222" w:name="_Toc11691"/>
      <w:bookmarkStart w:id="223" w:name="_Toc32399"/>
      <w:bookmarkStart w:id="224" w:name="_Toc32330"/>
      <w:bookmarkStart w:id="225" w:name="_Toc32235"/>
      <w:bookmarkStart w:id="226" w:name="_Toc2487"/>
      <w:bookmarkStart w:id="227" w:name="_Toc26842"/>
      <w:bookmarkStart w:id="228" w:name="_Toc15080"/>
      <w:r>
        <w:rPr>
          <w:rFonts w:ascii="Times New Roman" w:hAnsi="Times New Roman" w:eastAsia="黑体"/>
          <w:bCs/>
          <w:color w:val="000000" w:themeColor="text1"/>
          <w:sz w:val="32"/>
          <w:szCs w:val="26"/>
          <w14:textFill>
            <w14:solidFill>
              <w14:schemeClr w14:val="tx1"/>
            </w14:solidFill>
          </w14:textFill>
        </w:rPr>
        <w:t>四、补链延链，提升</w:t>
      </w:r>
      <w:r>
        <w:rPr>
          <w:rFonts w:hint="eastAsia" w:ascii="Times New Roman" w:hAnsi="Times New Roman" w:eastAsia="黑体"/>
          <w:bCs/>
          <w:color w:val="000000" w:themeColor="text1"/>
          <w:sz w:val="32"/>
          <w:szCs w:val="26"/>
          <w14:textFill>
            <w14:solidFill>
              <w14:schemeClr w14:val="tx1"/>
            </w14:solidFill>
          </w14:textFill>
        </w:rPr>
        <w:t>全</w:t>
      </w:r>
      <w:r>
        <w:rPr>
          <w:rFonts w:ascii="Times New Roman" w:hAnsi="Times New Roman" w:eastAsia="黑体"/>
          <w:bCs/>
          <w:color w:val="000000" w:themeColor="text1"/>
          <w:sz w:val="32"/>
          <w:szCs w:val="26"/>
          <w14:textFill>
            <w14:solidFill>
              <w14:schemeClr w14:val="tx1"/>
            </w14:solidFill>
          </w14:textFill>
        </w:rPr>
        <w:t>产业链建设水平</w:t>
      </w:r>
      <w:bookmarkEnd w:id="216"/>
      <w:bookmarkEnd w:id="217"/>
      <w:bookmarkEnd w:id="218"/>
      <w:bookmarkEnd w:id="219"/>
      <w:bookmarkEnd w:id="220"/>
      <w:bookmarkEnd w:id="221"/>
      <w:bookmarkEnd w:id="222"/>
      <w:bookmarkEnd w:id="223"/>
      <w:bookmarkEnd w:id="224"/>
      <w:bookmarkEnd w:id="225"/>
      <w:bookmarkEnd w:id="226"/>
      <w:bookmarkEnd w:id="227"/>
      <w:bookmarkEnd w:id="228"/>
    </w:p>
    <w:p>
      <w:pPr>
        <w:adjustRightInd w:val="0"/>
        <w:snapToGrid w:val="0"/>
        <w:spacing w:line="360" w:lineRule="auto"/>
        <w:ind w:firstLine="643" w:firstLineChars="200"/>
        <w:outlineLvl w:val="2"/>
        <w:rPr>
          <w:rFonts w:ascii="Times New Roman" w:hAnsi="Times New Roman" w:eastAsia="楷体"/>
          <w:b/>
          <w:color w:val="000000" w:themeColor="text1"/>
          <w:sz w:val="32"/>
          <w:szCs w:val="27"/>
          <w14:textFill>
            <w14:solidFill>
              <w14:schemeClr w14:val="tx1"/>
            </w14:solidFill>
          </w14:textFill>
        </w:rPr>
      </w:pPr>
      <w:bookmarkStart w:id="229" w:name="_Toc89203801"/>
      <w:bookmarkStart w:id="230" w:name="_Toc14819"/>
      <w:r>
        <w:rPr>
          <w:rFonts w:ascii="Times New Roman" w:hAnsi="Times New Roman" w:eastAsia="楷体"/>
          <w:b/>
          <w:color w:val="000000" w:themeColor="text1"/>
          <w:sz w:val="32"/>
          <w:szCs w:val="27"/>
          <w14:textFill>
            <w14:solidFill>
              <w14:schemeClr w14:val="tx1"/>
            </w14:solidFill>
          </w14:textFill>
        </w:rPr>
        <w:t>（一）提高上游原料保障能力</w:t>
      </w:r>
      <w:bookmarkEnd w:id="229"/>
      <w:bookmarkEnd w:id="230"/>
    </w:p>
    <w:p>
      <w:pPr>
        <w:adjustRightInd w:val="0"/>
        <w:snapToGrid w:val="0"/>
        <w:spacing w:line="360" w:lineRule="auto"/>
        <w:ind w:firstLine="640" w:firstLineChars="200"/>
        <w:rPr>
          <w:rFonts w:ascii="Times New Roman" w:hAnsi="Times New Roman" w:eastAsia="仿宋"/>
          <w:color w:val="000000" w:themeColor="text1"/>
          <w14:textFill>
            <w14:solidFill>
              <w14:schemeClr w14:val="tx1"/>
            </w14:solidFill>
          </w14:textFill>
        </w:rPr>
      </w:pPr>
      <w:r>
        <w:rPr>
          <w:rFonts w:ascii="Times New Roman" w:hAnsi="Times New Roman" w:eastAsia="仿宋"/>
          <w:color w:val="000000" w:themeColor="text1"/>
          <w:kern w:val="0"/>
          <w:sz w:val="32"/>
          <w:szCs w:val="32"/>
          <w14:textFill>
            <w14:solidFill>
              <w14:schemeClr w14:val="tx1"/>
            </w14:solidFill>
          </w14:textFill>
        </w:rPr>
        <w:t>大力推广使用机制砂石，结合砂石骨料生产基地布局优化运输结构；积极推动公路、铁路、水路集装箱联运方式装载运输建筑砂石骨料，利用信息化手段实现对供应链的全程监管，提高砂石原料保障能力、降低砂石骨料运输成本、保障运输安全。规范砂石、掺合料企业生产和销售行为，推进砂石、掺合料企业设置具备满足相关标准性能测试要求的试验室，保障出厂产品质量。严禁在预拌混凝土、预拌砂浆及其他水泥制品中使用不符合标准要求砂石原料、掺合料，鼓励砂石骨料生产与预拌混凝土、预拌砂浆、水泥制品等生产融合发展，提高粒型与级配优良的砂石骨料占比，保障高性能混凝土、特种砂浆生产等对高品质砂石的需求。</w:t>
      </w:r>
    </w:p>
    <w:p>
      <w:pPr>
        <w:adjustRightInd w:val="0"/>
        <w:snapToGrid w:val="0"/>
        <w:spacing w:line="360" w:lineRule="auto"/>
        <w:ind w:firstLine="643" w:firstLineChars="200"/>
        <w:outlineLvl w:val="2"/>
        <w:rPr>
          <w:rFonts w:ascii="Times New Roman" w:hAnsi="Times New Roman" w:eastAsia="楷体"/>
          <w:b/>
          <w:color w:val="000000" w:themeColor="text1"/>
          <w:sz w:val="32"/>
          <w:szCs w:val="27"/>
          <w14:textFill>
            <w14:solidFill>
              <w14:schemeClr w14:val="tx1"/>
            </w14:solidFill>
          </w14:textFill>
        </w:rPr>
      </w:pPr>
      <w:bookmarkStart w:id="231" w:name="_Toc22785"/>
      <w:bookmarkStart w:id="232" w:name="_Toc89203802"/>
      <w:r>
        <w:rPr>
          <w:rFonts w:ascii="Times New Roman" w:hAnsi="Times New Roman" w:eastAsia="楷体"/>
          <w:b/>
          <w:color w:val="000000" w:themeColor="text1"/>
          <w:sz w:val="32"/>
          <w:szCs w:val="27"/>
          <w14:textFill>
            <w14:solidFill>
              <w14:schemeClr w14:val="tx1"/>
            </w14:solidFill>
          </w14:textFill>
        </w:rPr>
        <w:t>（</w:t>
      </w:r>
      <w:r>
        <w:rPr>
          <w:rFonts w:hint="eastAsia" w:ascii="Times New Roman" w:hAnsi="Times New Roman" w:eastAsia="楷体"/>
          <w:b/>
          <w:color w:val="000000" w:themeColor="text1"/>
          <w:sz w:val="32"/>
          <w:szCs w:val="27"/>
          <w14:textFill>
            <w14:solidFill>
              <w14:schemeClr w14:val="tx1"/>
            </w14:solidFill>
          </w14:textFill>
        </w:rPr>
        <w:t>二</w:t>
      </w:r>
      <w:r>
        <w:rPr>
          <w:rFonts w:ascii="Times New Roman" w:hAnsi="Times New Roman" w:eastAsia="楷体"/>
          <w:b/>
          <w:color w:val="000000" w:themeColor="text1"/>
          <w:sz w:val="32"/>
          <w:szCs w:val="27"/>
          <w14:textFill>
            <w14:solidFill>
              <w14:schemeClr w14:val="tx1"/>
            </w14:solidFill>
          </w14:textFill>
        </w:rPr>
        <w:t>）大力发展下游水泥制品产业链</w:t>
      </w:r>
      <w:bookmarkEnd w:id="231"/>
      <w:bookmarkEnd w:id="232"/>
    </w:p>
    <w:p>
      <w:pPr>
        <w:adjustRightInd w:val="0"/>
        <w:snapToGrid w:val="0"/>
        <w:spacing w:line="360" w:lineRule="auto"/>
        <w:ind w:firstLine="640" w:firstLineChars="200"/>
        <w:rPr>
          <w:rFonts w:ascii="Times New Roman" w:hAnsi="Times New Roman" w:eastAsia="仿宋"/>
          <w:color w:val="000000" w:themeColor="text1"/>
          <w:kern w:val="0"/>
          <w:sz w:val="32"/>
          <w:szCs w:val="32"/>
          <w14:textFill>
            <w14:solidFill>
              <w14:schemeClr w14:val="tx1"/>
            </w14:solidFill>
          </w14:textFill>
        </w:rPr>
      </w:pPr>
      <w:r>
        <w:rPr>
          <w:rFonts w:ascii="Times New Roman" w:hAnsi="Times New Roman" w:eastAsia="仿宋"/>
          <w:color w:val="000000" w:themeColor="text1"/>
          <w:kern w:val="0"/>
          <w:sz w:val="32"/>
          <w:szCs w:val="32"/>
          <w14:textFill>
            <w14:solidFill>
              <w14:schemeClr w14:val="tx1"/>
            </w14:solidFill>
          </w14:textFill>
        </w:rPr>
        <w:t>推动产业升级，引导产业适度向高端化发展；鼓励企业做强做大，支持各种形式的企业兼并重组，创建广西品牌；鼓励企业走差异化发展道路，引导预拌混凝土、预拌砂浆生产企业延伸产业链条，主动适应绿色建筑和装配式建筑的发展要求，向水泥制品及预制件生产环节拓展。因地制宜，积极融入粤港澳大湾区建设；鼓励企业充分发挥钦州资源与海路优势，沿港口码头布局，对接大湾区应用市场，着重发展装配式建筑部品部件及配套专用砂浆、特殊工程用砂浆产品、水泥基渗透结晶型防水材料、装饰混凝土（砂浆）、新型水泥基装饰装修材料、其他无机绿色建材产品等。</w:t>
      </w:r>
      <w:r>
        <w:rPr>
          <w:rFonts w:hint="eastAsia" w:ascii="Times New Roman" w:hAnsi="Times New Roman" w:eastAsia="仿宋"/>
          <w:color w:val="000000" w:themeColor="text1"/>
          <w:kern w:val="0"/>
          <w:sz w:val="32"/>
          <w:szCs w:val="32"/>
          <w14:textFill>
            <w14:solidFill>
              <w14:schemeClr w14:val="tx1"/>
            </w14:solidFill>
          </w14:textFill>
        </w:rPr>
        <w:t>完善生产性服务业服务体系建设，大力发展技术咨询、物流运输、电子商务、检验检测等生产性服务业，支持专业化服务机构开展生产性服务业服务创新，营造生产性服务业发展环境。</w:t>
      </w:r>
    </w:p>
    <w:p>
      <w:pPr>
        <w:adjustRightInd w:val="0"/>
        <w:snapToGrid w:val="0"/>
        <w:spacing w:line="360" w:lineRule="auto"/>
        <w:ind w:firstLine="643" w:firstLineChars="200"/>
        <w:outlineLvl w:val="2"/>
        <w:rPr>
          <w:rFonts w:ascii="Times New Roman" w:hAnsi="Times New Roman" w:eastAsia="楷体"/>
          <w:b/>
          <w:color w:val="000000" w:themeColor="text1"/>
          <w:sz w:val="32"/>
          <w:szCs w:val="27"/>
          <w14:textFill>
            <w14:solidFill>
              <w14:schemeClr w14:val="tx1"/>
            </w14:solidFill>
          </w14:textFill>
        </w:rPr>
      </w:pPr>
      <w:bookmarkStart w:id="233" w:name="_Toc7811"/>
      <w:bookmarkStart w:id="234" w:name="_Toc20407"/>
      <w:bookmarkStart w:id="235" w:name="_Toc11583"/>
      <w:bookmarkStart w:id="236" w:name="_Toc7110"/>
      <w:bookmarkStart w:id="237" w:name="_Toc11962"/>
      <w:bookmarkStart w:id="238" w:name="_Toc29776"/>
      <w:bookmarkStart w:id="239" w:name="_Toc29180"/>
      <w:bookmarkStart w:id="240" w:name="_Toc27432"/>
      <w:bookmarkStart w:id="241" w:name="_Toc16914"/>
      <w:bookmarkStart w:id="242" w:name="_Toc8698"/>
      <w:bookmarkStart w:id="243" w:name="_Toc31907"/>
      <w:bookmarkStart w:id="244" w:name="_Toc7908"/>
      <w:r>
        <w:rPr>
          <w:rFonts w:hint="eastAsia" w:ascii="Times New Roman" w:hAnsi="Times New Roman" w:eastAsia="楷体"/>
          <w:b/>
          <w:color w:val="000000" w:themeColor="text1"/>
          <w:sz w:val="32"/>
          <w:szCs w:val="27"/>
          <w14:textFill>
            <w14:solidFill>
              <w14:schemeClr w14:val="tx1"/>
            </w14:solidFill>
          </w14:textFill>
        </w:rPr>
        <w:t>（三）</w:t>
      </w:r>
      <w:r>
        <w:fldChar w:fldCharType="begin"/>
      </w:r>
      <w:r>
        <w:instrText xml:space="preserve"> HYPERLINK "http://www.baidu.com/link?url=nq9RH2ts87fRnnMKOPQ5s_igWeMRIxv9S0mZDdmJfcVbmQQBBoi2PuV2z3UH4RbTEuhKl87q6syAybtGgd828ZFByktmj4r7Afl6KLa5fq3" \t "https://www.baidu.com/_blank" </w:instrText>
      </w:r>
      <w:r>
        <w:fldChar w:fldCharType="separate"/>
      </w:r>
      <w:r>
        <w:rPr>
          <w:rFonts w:hint="eastAsia" w:ascii="Times New Roman" w:hAnsi="Times New Roman" w:eastAsia="楷体"/>
          <w:b/>
          <w:color w:val="000000" w:themeColor="text1"/>
          <w:sz w:val="32"/>
          <w:szCs w:val="27"/>
          <w14:textFill>
            <w14:solidFill>
              <w14:schemeClr w14:val="tx1"/>
            </w14:solidFill>
          </w14:textFill>
        </w:rPr>
        <w:t>以创新驱动促进全产业链升级发展</w:t>
      </w:r>
      <w:r>
        <w:rPr>
          <w:rFonts w:hint="eastAsia" w:ascii="Times New Roman" w:hAnsi="Times New Roman" w:eastAsia="楷体"/>
          <w:b/>
          <w:color w:val="000000" w:themeColor="text1"/>
          <w:sz w:val="32"/>
          <w:szCs w:val="27"/>
          <w14:textFill>
            <w14:solidFill>
              <w14:schemeClr w14:val="tx1"/>
            </w14:solidFill>
          </w14:textFill>
        </w:rPr>
        <w:fldChar w:fldCharType="end"/>
      </w:r>
      <w:bookmarkEnd w:id="233"/>
      <w:bookmarkEnd w:id="234"/>
      <w:bookmarkEnd w:id="235"/>
      <w:bookmarkEnd w:id="236"/>
      <w:bookmarkEnd w:id="237"/>
      <w:bookmarkEnd w:id="238"/>
      <w:bookmarkEnd w:id="239"/>
      <w:bookmarkEnd w:id="240"/>
      <w:bookmarkEnd w:id="241"/>
      <w:bookmarkEnd w:id="242"/>
      <w:bookmarkEnd w:id="243"/>
      <w:bookmarkEnd w:id="244"/>
    </w:p>
    <w:p>
      <w:pPr>
        <w:adjustRightInd w:val="0"/>
        <w:snapToGrid w:val="0"/>
        <w:spacing w:line="360" w:lineRule="auto"/>
        <w:ind w:firstLine="640" w:firstLineChars="200"/>
        <w:rPr>
          <w:rFonts w:ascii="Times New Roman" w:hAnsi="Times New Roman" w:eastAsia="仿宋"/>
          <w:color w:val="000000" w:themeColor="text1"/>
          <w:kern w:val="0"/>
          <w:sz w:val="32"/>
          <w:szCs w:val="32"/>
          <w14:textFill>
            <w14:solidFill>
              <w14:schemeClr w14:val="tx1"/>
            </w14:solidFill>
          </w14:textFill>
        </w:rPr>
      </w:pPr>
      <w:r>
        <w:rPr>
          <w:rFonts w:hint="eastAsia" w:ascii="Times New Roman" w:hAnsi="Times New Roman" w:eastAsia="仿宋"/>
          <w:color w:val="000000" w:themeColor="text1"/>
          <w:kern w:val="0"/>
          <w:sz w:val="32"/>
          <w:szCs w:val="32"/>
          <w14:textFill>
            <w14:solidFill>
              <w14:schemeClr w14:val="tx1"/>
            </w14:solidFill>
          </w14:textFill>
        </w:rPr>
        <w:t>一是上下游产业融合，打造产业发展生态体系。打造以骨干企业为龙头、上下游关联产业协作配套、共同发展的产业生态集群。贯通上下游产业融合发展，实施有限多元的集团发展战略，着重加强与各原材料产业、物流和建筑业的融合，做强做优做大企业；加快发展生产性服务业，培育和支持发展面向行业的信息技术、工业设计、技术研发、现代物流、融资、电子商务、检验检测认证、人力资源等生产性服务业企业；在行业内和相关行业之间，积极组建各种形式的产业联盟，如技术创新联盟、联合采购联盟、联合营销联盟、技术标准联盟等，以主导产业发展为核心整合相关资源，通过建立众创、众筹、共享、共赢的发展机制，提高创新发展能力.打造产业发展生态体系。</w:t>
      </w:r>
    </w:p>
    <w:p>
      <w:pPr>
        <w:adjustRightInd w:val="0"/>
        <w:snapToGrid w:val="0"/>
        <w:spacing w:line="360" w:lineRule="auto"/>
        <w:ind w:firstLine="640" w:firstLineChars="200"/>
        <w:rPr>
          <w:rFonts w:ascii="Times New Roman" w:hAnsi="Times New Roman" w:eastAsia="仿宋"/>
          <w:color w:val="000000" w:themeColor="text1"/>
          <w:kern w:val="0"/>
          <w:sz w:val="32"/>
          <w:szCs w:val="32"/>
          <w14:textFill>
            <w14:solidFill>
              <w14:schemeClr w14:val="tx1"/>
            </w14:solidFill>
          </w14:textFill>
        </w:rPr>
      </w:pPr>
      <w:r>
        <w:rPr>
          <w:rFonts w:hint="eastAsia" w:ascii="Times New Roman" w:hAnsi="Times New Roman" w:eastAsia="仿宋"/>
          <w:color w:val="000000" w:themeColor="text1"/>
          <w:kern w:val="0"/>
          <w:sz w:val="32"/>
          <w:szCs w:val="32"/>
          <w14:textFill>
            <w14:solidFill>
              <w14:schemeClr w14:val="tx1"/>
            </w14:solidFill>
          </w14:textFill>
        </w:rPr>
        <w:t>二是跨区域融合，转资源优势为经济发展优势。积极融入海南、粤港澳大湾区与东盟等市场发展，主动承接东部发达地区转移产业，定期开展主管部门、协会、企业和研究院校间的交流，促进跨区域的协同融合发展和合作，推动标准互认、产品互认、专家互认，鼓励资源就地深加工，延伸广西散装水泥产业链，转资源优势为经济发展优势。</w:t>
      </w:r>
    </w:p>
    <w:p>
      <w:pPr>
        <w:adjustRightInd w:val="0"/>
        <w:snapToGrid w:val="0"/>
        <w:spacing w:line="360" w:lineRule="auto"/>
        <w:ind w:firstLine="640" w:firstLineChars="200"/>
        <w:rPr>
          <w:rFonts w:ascii="Times New Roman" w:hAnsi="Times New Roman" w:eastAsia="仿宋"/>
          <w:color w:val="000000" w:themeColor="text1"/>
          <w:kern w:val="0"/>
          <w:sz w:val="32"/>
          <w:szCs w:val="32"/>
          <w14:textFill>
            <w14:solidFill>
              <w14:schemeClr w14:val="tx1"/>
            </w14:solidFill>
          </w14:textFill>
        </w:rPr>
      </w:pPr>
      <w:r>
        <w:rPr>
          <w:rFonts w:hint="eastAsia" w:ascii="Times New Roman" w:hAnsi="Times New Roman" w:eastAsia="仿宋"/>
          <w:color w:val="000000" w:themeColor="text1"/>
          <w:kern w:val="0"/>
          <w:sz w:val="32"/>
          <w:szCs w:val="32"/>
          <w14:textFill>
            <w14:solidFill>
              <w14:schemeClr w14:val="tx1"/>
            </w14:solidFill>
          </w14:textFill>
        </w:rPr>
        <w:t>三是构建行业创新体系，增强自主创新能力，建立行业、自治区、企业各个层次的技术创新平台，完善产学研协同创新体制机制，实现从要素驱动、投资驱动发展向创新驱动发展的转变。加大散装水泥新产品、新技术、新工艺、新设备的研发和推广应用力度；培育创新型企业，发挥企业在技术创新中的主体作用，加快建立以企业为主体、市场为导向、产学研相结合的技术创新体系，鼓励和支持多种形式的产学研用结合，形成一批拥有自主知识产权的达到国内外先进水平的创新成果，支撑产业向中高端发展。</w:t>
      </w:r>
    </w:p>
    <w:p>
      <w:pPr>
        <w:pStyle w:val="2"/>
        <w:rPr>
          <w:rFonts w:ascii="Times New Roman" w:hAnsi="Times New Roman" w:eastAsia="仿宋"/>
          <w:color w:val="000000" w:themeColor="text1"/>
          <w:kern w:val="0"/>
          <w:sz w:val="32"/>
          <w:szCs w:val="32"/>
          <w14:textFill>
            <w14:solidFill>
              <w14:schemeClr w14:val="tx1"/>
            </w14:solidFill>
          </w14:textFill>
        </w:rPr>
      </w:pPr>
    </w:p>
    <w:p>
      <w:pPr>
        <w:pStyle w:val="2"/>
        <w:rPr>
          <w:rFonts w:ascii="Times New Roman" w:hAnsi="Times New Roman" w:eastAsia="仿宋"/>
          <w:color w:val="000000" w:themeColor="text1"/>
          <w:kern w:val="0"/>
          <w:sz w:val="32"/>
          <w:szCs w:val="32"/>
          <w14:textFill>
            <w14:solidFill>
              <w14:schemeClr w14:val="tx1"/>
            </w14:solidFill>
          </w14:textFill>
        </w:rPr>
        <w:sectPr>
          <w:pgSz w:w="11906" w:h="16838"/>
          <w:pgMar w:top="1440" w:right="1800" w:bottom="1440" w:left="1800" w:header="851" w:footer="992" w:gutter="0"/>
          <w:cols w:space="425" w:num="1"/>
          <w:docGrid w:type="lines" w:linePitch="312" w:charSpace="0"/>
        </w:sectPr>
      </w:pPr>
    </w:p>
    <w:p>
      <w:pPr>
        <w:pStyle w:val="2"/>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9297035" cy="5527675"/>
            <wp:effectExtent l="0" t="0" r="18415" b="15875"/>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9"/>
                    <a:stretch>
                      <a:fillRect/>
                    </a:stretch>
                  </pic:blipFill>
                  <pic:spPr>
                    <a:xfrm>
                      <a:off x="0" y="0"/>
                      <a:ext cx="9297035" cy="5527675"/>
                    </a:xfrm>
                    <a:prstGeom prst="rect">
                      <a:avLst/>
                    </a:prstGeom>
                    <a:noFill/>
                    <a:ln>
                      <a:noFill/>
                    </a:ln>
                  </pic:spPr>
                </pic:pic>
              </a:graphicData>
            </a:graphic>
          </wp:inline>
        </w:drawing>
      </w:r>
    </w:p>
    <w:p>
      <w:pPr>
        <w:pStyle w:val="2"/>
        <w:jc w:val="center"/>
        <w:rPr>
          <w:color w:val="000000" w:themeColor="text1"/>
          <w14:textFill>
            <w14:solidFill>
              <w14:schemeClr w14:val="tx1"/>
            </w14:solidFill>
          </w14:textFill>
        </w:rPr>
      </w:pPr>
      <w:r>
        <w:rPr>
          <w:rFonts w:hint="eastAsia" w:ascii="Times New Roman" w:hAnsi="Times New Roman" w:eastAsia="仿宋"/>
          <w:b/>
          <w:bCs/>
          <w:color w:val="000000" w:themeColor="text1"/>
          <w:kern w:val="0"/>
          <w:sz w:val="24"/>
          <w14:textFill>
            <w14:solidFill>
              <w14:schemeClr w14:val="tx1"/>
            </w14:solidFill>
          </w14:textFill>
        </w:rPr>
        <w:t>图5-1 钦州市预拌混凝土产业链全景图</w:t>
      </w:r>
    </w:p>
    <w:p>
      <w:pPr>
        <w:pStyle w:val="2"/>
        <w:jc w:val="left"/>
        <w:rPr>
          <w:color w:val="000000" w:themeColor="text1"/>
          <w14:textFill>
            <w14:solidFill>
              <w14:schemeClr w14:val="tx1"/>
            </w14:solidFill>
          </w14:textFill>
        </w:rPr>
        <w:sectPr>
          <w:pgSz w:w="16838" w:h="11906" w:orient="landscape"/>
          <w:pgMar w:top="1134" w:right="0" w:bottom="0" w:left="0" w:header="851" w:footer="992" w:gutter="0"/>
          <w:cols w:space="425" w:num="1"/>
          <w:docGrid w:type="lines" w:linePitch="312" w:charSpace="0"/>
        </w:sectPr>
      </w:pPr>
    </w:p>
    <w:p>
      <w:pPr>
        <w:keepNext/>
        <w:keepLines/>
        <w:adjustRightInd w:val="0"/>
        <w:snapToGrid w:val="0"/>
        <w:spacing w:line="360" w:lineRule="auto"/>
        <w:ind w:firstLine="640" w:firstLineChars="200"/>
        <w:outlineLvl w:val="1"/>
        <w:rPr>
          <w:rFonts w:ascii="Times New Roman" w:hAnsi="Times New Roman" w:eastAsia="黑体"/>
          <w:bCs/>
          <w:color w:val="000000" w:themeColor="text1"/>
          <w:sz w:val="32"/>
          <w:szCs w:val="26"/>
          <w14:textFill>
            <w14:solidFill>
              <w14:schemeClr w14:val="tx1"/>
            </w14:solidFill>
          </w14:textFill>
        </w:rPr>
      </w:pPr>
      <w:bookmarkStart w:id="245" w:name="_Toc7694"/>
      <w:bookmarkStart w:id="246" w:name="_Toc9478"/>
      <w:bookmarkStart w:id="247" w:name="_Toc22771"/>
      <w:bookmarkStart w:id="248" w:name="_Toc29720"/>
      <w:bookmarkStart w:id="249" w:name="_Toc27131"/>
      <w:bookmarkStart w:id="250" w:name="_Toc6321"/>
      <w:bookmarkStart w:id="251" w:name="_Toc13716"/>
      <w:bookmarkStart w:id="252" w:name="_Toc89203803"/>
      <w:bookmarkStart w:id="253" w:name="_Toc421"/>
      <w:bookmarkStart w:id="254" w:name="_Toc27961"/>
      <w:bookmarkStart w:id="255" w:name="_Toc13388"/>
      <w:bookmarkStart w:id="256" w:name="_Toc13897"/>
      <w:r>
        <w:rPr>
          <w:rFonts w:ascii="Times New Roman" w:hAnsi="Times New Roman" w:eastAsia="黑体"/>
          <w:bCs/>
          <w:color w:val="000000" w:themeColor="text1"/>
          <w:sz w:val="32"/>
          <w:szCs w:val="26"/>
          <w14:textFill>
            <w14:solidFill>
              <w14:schemeClr w14:val="tx1"/>
            </w14:solidFill>
          </w14:textFill>
        </w:rPr>
        <w:t>五、践行绿色理念，</w:t>
      </w:r>
      <w:bookmarkEnd w:id="245"/>
      <w:bookmarkEnd w:id="246"/>
      <w:bookmarkEnd w:id="247"/>
      <w:bookmarkEnd w:id="248"/>
      <w:bookmarkEnd w:id="249"/>
      <w:bookmarkEnd w:id="250"/>
      <w:bookmarkEnd w:id="251"/>
      <w:bookmarkEnd w:id="252"/>
      <w:r>
        <w:rPr>
          <w:rFonts w:ascii="Times New Roman" w:hAnsi="Times New Roman" w:eastAsia="黑体"/>
          <w:bCs/>
          <w:color w:val="000000" w:themeColor="text1"/>
          <w:sz w:val="32"/>
          <w:szCs w:val="26"/>
          <w14:textFill>
            <w14:solidFill>
              <w14:schemeClr w14:val="tx1"/>
            </w14:solidFill>
          </w14:textFill>
        </w:rPr>
        <w:t>助力行业</w:t>
      </w:r>
      <w:r>
        <w:rPr>
          <w:rFonts w:hint="eastAsia" w:ascii="Times New Roman" w:hAnsi="Times New Roman" w:eastAsia="黑体"/>
          <w:bCs/>
          <w:color w:val="000000" w:themeColor="text1"/>
          <w:sz w:val="32"/>
          <w:szCs w:val="26"/>
          <w14:textFill>
            <w14:solidFill>
              <w14:schemeClr w14:val="tx1"/>
            </w14:solidFill>
          </w14:textFill>
        </w:rPr>
        <w:t>“</w:t>
      </w:r>
      <w:r>
        <w:rPr>
          <w:rFonts w:ascii="Times New Roman" w:hAnsi="Times New Roman" w:eastAsia="黑体"/>
          <w:bCs/>
          <w:color w:val="000000" w:themeColor="text1"/>
          <w:sz w:val="32"/>
          <w:szCs w:val="26"/>
          <w14:textFill>
            <w14:solidFill>
              <w14:schemeClr w14:val="tx1"/>
            </w14:solidFill>
          </w14:textFill>
        </w:rPr>
        <w:t>碳达峰、碳中和</w:t>
      </w:r>
      <w:bookmarkEnd w:id="253"/>
      <w:bookmarkEnd w:id="254"/>
      <w:r>
        <w:rPr>
          <w:rFonts w:hint="eastAsia" w:ascii="Times New Roman" w:hAnsi="Times New Roman" w:eastAsia="黑体"/>
          <w:bCs/>
          <w:color w:val="000000" w:themeColor="text1"/>
          <w:sz w:val="32"/>
          <w:szCs w:val="26"/>
          <w14:textFill>
            <w14:solidFill>
              <w14:schemeClr w14:val="tx1"/>
            </w14:solidFill>
          </w14:textFill>
        </w:rPr>
        <w:t>”</w:t>
      </w:r>
      <w:bookmarkEnd w:id="255"/>
      <w:bookmarkEnd w:id="256"/>
    </w:p>
    <w:p>
      <w:pPr>
        <w:adjustRightInd w:val="0"/>
        <w:snapToGrid w:val="0"/>
        <w:spacing w:line="360" w:lineRule="auto"/>
        <w:ind w:firstLine="643" w:firstLineChars="200"/>
        <w:outlineLvl w:val="2"/>
        <w:rPr>
          <w:rFonts w:ascii="Times New Roman" w:hAnsi="Times New Roman" w:eastAsia="楷体"/>
          <w:b/>
          <w:color w:val="000000" w:themeColor="text1"/>
          <w:sz w:val="32"/>
          <w:szCs w:val="27"/>
          <w14:textFill>
            <w14:solidFill>
              <w14:schemeClr w14:val="tx1"/>
            </w14:solidFill>
          </w14:textFill>
        </w:rPr>
      </w:pPr>
      <w:bookmarkStart w:id="257" w:name="_Toc26687"/>
      <w:bookmarkStart w:id="258" w:name="_Toc89203805"/>
      <w:r>
        <w:rPr>
          <w:rFonts w:ascii="Times New Roman" w:hAnsi="Times New Roman" w:eastAsia="楷体"/>
          <w:b/>
          <w:color w:val="000000" w:themeColor="text1"/>
          <w:sz w:val="32"/>
          <w:szCs w:val="27"/>
          <w14:textFill>
            <w14:solidFill>
              <w14:schemeClr w14:val="tx1"/>
            </w14:solidFill>
          </w14:textFill>
        </w:rPr>
        <w:t>（</w:t>
      </w:r>
      <w:r>
        <w:rPr>
          <w:rFonts w:hint="eastAsia" w:ascii="Times New Roman" w:hAnsi="Times New Roman" w:eastAsia="楷体"/>
          <w:b/>
          <w:color w:val="000000" w:themeColor="text1"/>
          <w:sz w:val="32"/>
          <w:szCs w:val="27"/>
          <w14:textFill>
            <w14:solidFill>
              <w14:schemeClr w14:val="tx1"/>
            </w14:solidFill>
          </w14:textFill>
        </w:rPr>
        <w:t>一</w:t>
      </w:r>
      <w:r>
        <w:rPr>
          <w:rFonts w:ascii="Times New Roman" w:hAnsi="Times New Roman" w:eastAsia="楷体"/>
          <w:b/>
          <w:color w:val="000000" w:themeColor="text1"/>
          <w:sz w:val="32"/>
          <w:szCs w:val="27"/>
          <w14:textFill>
            <w14:solidFill>
              <w14:schemeClr w14:val="tx1"/>
            </w14:solidFill>
          </w14:textFill>
        </w:rPr>
        <w:t>）</w:t>
      </w:r>
      <w:bookmarkEnd w:id="257"/>
      <w:r>
        <w:rPr>
          <w:rFonts w:ascii="Times New Roman" w:hAnsi="Times New Roman" w:eastAsia="楷体"/>
          <w:b/>
          <w:color w:val="000000" w:themeColor="text1"/>
          <w:sz w:val="32"/>
          <w:szCs w:val="27"/>
          <w14:textFill>
            <w14:solidFill>
              <w14:schemeClr w14:val="tx1"/>
            </w14:solidFill>
          </w14:textFill>
        </w:rPr>
        <w:t>提高资源化利用水平</w:t>
      </w:r>
      <w:bookmarkEnd w:id="258"/>
    </w:p>
    <w:p>
      <w:pPr>
        <w:adjustRightInd w:val="0"/>
        <w:snapToGrid w:val="0"/>
        <w:spacing w:line="360" w:lineRule="auto"/>
        <w:ind w:firstLine="640" w:firstLineChars="200"/>
        <w:rPr>
          <w:rFonts w:ascii="Times New Roman" w:hAnsi="Times New Roman" w:eastAsia="仿宋_GB2312"/>
          <w:color w:val="000000" w:themeColor="text1"/>
          <w:kern w:val="0"/>
          <w:sz w:val="32"/>
          <w:szCs w:val="32"/>
          <w14:textFill>
            <w14:solidFill>
              <w14:schemeClr w14:val="tx1"/>
            </w14:solidFill>
          </w14:textFill>
        </w:rPr>
      </w:pPr>
      <w:r>
        <w:rPr>
          <w:rFonts w:ascii="Times New Roman" w:hAnsi="Times New Roman" w:eastAsia="仿宋"/>
          <w:color w:val="000000" w:themeColor="text1"/>
          <w:kern w:val="0"/>
          <w:sz w:val="32"/>
          <w:szCs w:val="32"/>
          <w14:textFill>
            <w14:solidFill>
              <w14:schemeClr w14:val="tx1"/>
            </w14:solidFill>
          </w14:textFill>
        </w:rPr>
        <w:t>推动循环经济发展，发展静脉产业，加快提出固体废弃物回收利用管理机制，构建稳定的固废回用市场体系。开展固废处置、预拌混凝土建筑固废协同处置技术研究开发，重点提高城市建筑垃圾、工业废渣等固体废弃物资源在预拌混凝土、预拌砂浆生产中的应用比例，积极开发推广低碳利废再生混凝土，减少对水泥、天然原材料的使用，提高资源综合利用率。</w:t>
      </w:r>
    </w:p>
    <w:p>
      <w:pPr>
        <w:adjustRightInd w:val="0"/>
        <w:snapToGrid w:val="0"/>
        <w:spacing w:line="360" w:lineRule="auto"/>
        <w:ind w:firstLine="643" w:firstLineChars="200"/>
        <w:outlineLvl w:val="2"/>
        <w:rPr>
          <w:rFonts w:ascii="Times New Roman" w:hAnsi="Times New Roman" w:eastAsia="楷体"/>
          <w:b/>
          <w:color w:val="000000" w:themeColor="text1"/>
          <w:sz w:val="32"/>
          <w:szCs w:val="27"/>
          <w14:textFill>
            <w14:solidFill>
              <w14:schemeClr w14:val="tx1"/>
            </w14:solidFill>
          </w14:textFill>
        </w:rPr>
      </w:pPr>
      <w:bookmarkStart w:id="259" w:name="_Toc89203806"/>
      <w:r>
        <w:rPr>
          <w:rFonts w:hint="eastAsia" w:ascii="Times New Roman" w:hAnsi="Times New Roman" w:eastAsia="楷体"/>
          <w:b/>
          <w:color w:val="000000" w:themeColor="text1"/>
          <w:sz w:val="32"/>
          <w:szCs w:val="27"/>
          <w14:textFill>
            <w14:solidFill>
              <w14:schemeClr w14:val="tx1"/>
            </w14:solidFill>
          </w14:textFill>
        </w:rPr>
        <w:t>（二）开展低碳节能工程</w:t>
      </w:r>
      <w:bookmarkEnd w:id="259"/>
    </w:p>
    <w:p>
      <w:pPr>
        <w:adjustRightInd w:val="0"/>
        <w:snapToGrid w:val="0"/>
        <w:spacing w:line="360" w:lineRule="auto"/>
        <w:ind w:firstLine="640" w:firstLineChars="200"/>
        <w:rPr>
          <w:rFonts w:ascii="Times New Roman" w:hAnsi="Times New Roman" w:eastAsia="仿宋"/>
          <w:color w:val="000000" w:themeColor="text1"/>
          <w:kern w:val="0"/>
          <w:sz w:val="32"/>
          <w:szCs w:val="32"/>
          <w14:textFill>
            <w14:solidFill>
              <w14:schemeClr w14:val="tx1"/>
            </w14:solidFill>
          </w14:textFill>
        </w:rPr>
      </w:pPr>
      <w:r>
        <w:rPr>
          <w:rFonts w:ascii="Times New Roman" w:hAnsi="Times New Roman" w:eastAsia="仿宋"/>
          <w:color w:val="000000" w:themeColor="text1"/>
          <w:kern w:val="0"/>
          <w:sz w:val="32"/>
          <w:szCs w:val="32"/>
          <w14:textFill>
            <w14:solidFill>
              <w14:schemeClr w14:val="tx1"/>
            </w14:solidFill>
          </w14:textFill>
        </w:rPr>
        <w:t>积极开发以减量减排、绿色高效为主要特征的减污降碳新工艺、新产品及新技术，大力推广使用清洁能源，加快推进低碳及节能减排努力推进预拌混凝土、预拌砂浆行业用能结构调整，提升能源利用效率，抑制能源消费过快增长，严格落实能源消耗总量和强度双控及节能挖潜工作要求。鼓励企业开展系统性节能诊断工作，实施生产设备升级改造，积极使用绿色节能新技术新装备，增加无功补偿装置，通过增加搅拌楼无功补偿装置，降低碳排放，提高搅拌站功率因数，减少搅拌楼运行过程耗电量。优化生产现场布局及物流规划，实现连续化、紧凑化和高效化生产，促进节能降耗、助力行业</w:t>
      </w:r>
      <w:r>
        <w:rPr>
          <w:rFonts w:hint="eastAsia" w:ascii="Times New Roman" w:hAnsi="Times New Roman" w:eastAsia="仿宋"/>
          <w:color w:val="000000" w:themeColor="text1"/>
          <w:kern w:val="0"/>
          <w:sz w:val="32"/>
          <w:szCs w:val="32"/>
          <w14:textFill>
            <w14:solidFill>
              <w14:schemeClr w14:val="tx1"/>
            </w14:solidFill>
          </w14:textFill>
        </w:rPr>
        <w:t>“</w:t>
      </w:r>
      <w:r>
        <w:rPr>
          <w:rFonts w:ascii="Times New Roman" w:hAnsi="Times New Roman" w:eastAsia="仿宋"/>
          <w:color w:val="000000" w:themeColor="text1"/>
          <w:kern w:val="0"/>
          <w:sz w:val="32"/>
          <w:szCs w:val="32"/>
          <w14:textFill>
            <w14:solidFill>
              <w14:schemeClr w14:val="tx1"/>
            </w14:solidFill>
          </w14:textFill>
        </w:rPr>
        <w:t>碳达峰、碳中和</w:t>
      </w:r>
      <w:r>
        <w:rPr>
          <w:rFonts w:hint="eastAsia" w:ascii="Times New Roman" w:hAnsi="Times New Roman" w:eastAsia="仿宋"/>
          <w:color w:val="000000" w:themeColor="text1"/>
          <w:kern w:val="0"/>
          <w:sz w:val="32"/>
          <w:szCs w:val="32"/>
          <w14:textFill>
            <w14:solidFill>
              <w14:schemeClr w14:val="tx1"/>
            </w14:solidFill>
          </w14:textFill>
        </w:rPr>
        <w:t>”</w:t>
      </w:r>
      <w:r>
        <w:rPr>
          <w:rFonts w:ascii="Times New Roman" w:hAnsi="Times New Roman" w:eastAsia="仿宋"/>
          <w:color w:val="000000" w:themeColor="text1"/>
          <w:kern w:val="0"/>
          <w:sz w:val="32"/>
          <w:szCs w:val="32"/>
          <w14:textFill>
            <w14:solidFill>
              <w14:schemeClr w14:val="tx1"/>
            </w14:solidFill>
          </w14:textFill>
        </w:rPr>
        <w:t>。</w:t>
      </w:r>
    </w:p>
    <w:p>
      <w:pPr>
        <w:keepNext/>
        <w:keepLines/>
        <w:adjustRightInd w:val="0"/>
        <w:snapToGrid w:val="0"/>
        <w:spacing w:line="360" w:lineRule="auto"/>
        <w:ind w:firstLine="640" w:firstLineChars="200"/>
        <w:outlineLvl w:val="1"/>
        <w:rPr>
          <w:rFonts w:ascii="Times New Roman" w:hAnsi="Times New Roman" w:eastAsia="黑体"/>
          <w:bCs/>
          <w:color w:val="000000" w:themeColor="text1"/>
          <w:sz w:val="32"/>
          <w:szCs w:val="26"/>
          <w14:textFill>
            <w14:solidFill>
              <w14:schemeClr w14:val="tx1"/>
            </w14:solidFill>
          </w14:textFill>
        </w:rPr>
      </w:pPr>
      <w:bookmarkStart w:id="260" w:name="_Toc27849"/>
      <w:bookmarkStart w:id="261" w:name="_Toc5292"/>
      <w:bookmarkStart w:id="262" w:name="_Toc21507"/>
      <w:bookmarkStart w:id="263" w:name="_Toc13966"/>
      <w:bookmarkStart w:id="264" w:name="_Toc3352"/>
      <w:bookmarkStart w:id="265" w:name="_Toc3189"/>
      <w:bookmarkStart w:id="266" w:name="_Toc21257"/>
      <w:bookmarkStart w:id="267" w:name="_Toc15651"/>
      <w:bookmarkStart w:id="268" w:name="_Toc27476"/>
      <w:bookmarkStart w:id="269" w:name="_Toc9719"/>
      <w:bookmarkStart w:id="270" w:name="_Toc89203810"/>
      <w:bookmarkStart w:id="271" w:name="_Toc11652"/>
      <w:bookmarkStart w:id="272" w:name="_Toc9143"/>
      <w:r>
        <w:rPr>
          <w:rFonts w:hint="eastAsia" w:ascii="Times New Roman" w:hAnsi="Times New Roman" w:eastAsia="黑体"/>
          <w:bCs/>
          <w:color w:val="000000" w:themeColor="text1"/>
          <w:sz w:val="32"/>
          <w:szCs w:val="26"/>
          <w14:textFill>
            <w14:solidFill>
              <w14:schemeClr w14:val="tx1"/>
            </w14:solidFill>
          </w14:textFill>
        </w:rPr>
        <w:t>六</w:t>
      </w:r>
      <w:r>
        <w:rPr>
          <w:rFonts w:ascii="Times New Roman" w:hAnsi="Times New Roman" w:eastAsia="黑体"/>
          <w:bCs/>
          <w:color w:val="000000" w:themeColor="text1"/>
          <w:sz w:val="32"/>
          <w:szCs w:val="26"/>
          <w14:textFill>
            <w14:solidFill>
              <w14:schemeClr w14:val="tx1"/>
            </w14:solidFill>
          </w14:textFill>
        </w:rPr>
        <w:t>、两化融合</w:t>
      </w:r>
      <w:bookmarkEnd w:id="260"/>
      <w:bookmarkEnd w:id="261"/>
      <w:r>
        <w:rPr>
          <w:rFonts w:ascii="Times New Roman" w:hAnsi="Times New Roman" w:eastAsia="黑体"/>
          <w:bCs/>
          <w:color w:val="000000" w:themeColor="text1"/>
          <w:sz w:val="32"/>
          <w:szCs w:val="26"/>
          <w14:textFill>
            <w14:solidFill>
              <w14:schemeClr w14:val="tx1"/>
            </w14:solidFill>
          </w14:textFill>
        </w:rPr>
        <w:t>，促进智能制造发展</w:t>
      </w:r>
      <w:bookmarkEnd w:id="262"/>
      <w:bookmarkEnd w:id="263"/>
      <w:bookmarkEnd w:id="264"/>
      <w:bookmarkEnd w:id="265"/>
      <w:bookmarkEnd w:id="266"/>
      <w:bookmarkEnd w:id="267"/>
      <w:bookmarkEnd w:id="268"/>
      <w:bookmarkEnd w:id="269"/>
      <w:bookmarkEnd w:id="270"/>
      <w:bookmarkEnd w:id="271"/>
      <w:bookmarkEnd w:id="272"/>
    </w:p>
    <w:p>
      <w:pPr>
        <w:adjustRightInd w:val="0"/>
        <w:snapToGrid w:val="0"/>
        <w:spacing w:line="360" w:lineRule="auto"/>
        <w:ind w:firstLine="643" w:firstLineChars="200"/>
        <w:outlineLvl w:val="2"/>
        <w:rPr>
          <w:rFonts w:ascii="Times New Roman" w:hAnsi="Times New Roman" w:eastAsia="楷体"/>
          <w:b/>
          <w:color w:val="000000" w:themeColor="text1"/>
          <w:sz w:val="32"/>
          <w:szCs w:val="27"/>
          <w14:textFill>
            <w14:solidFill>
              <w14:schemeClr w14:val="tx1"/>
            </w14:solidFill>
          </w14:textFill>
        </w:rPr>
      </w:pPr>
      <w:bookmarkStart w:id="273" w:name="_Toc57045242"/>
      <w:bookmarkStart w:id="274" w:name="_Toc7443"/>
      <w:bookmarkStart w:id="275" w:name="_Toc89203811"/>
      <w:r>
        <w:rPr>
          <w:rFonts w:ascii="Times New Roman" w:hAnsi="Times New Roman" w:eastAsia="楷体"/>
          <w:b/>
          <w:color w:val="000000" w:themeColor="text1"/>
          <w:sz w:val="32"/>
          <w:szCs w:val="27"/>
          <w14:textFill>
            <w14:solidFill>
              <w14:schemeClr w14:val="tx1"/>
            </w14:solidFill>
          </w14:textFill>
        </w:rPr>
        <w:t>（一）</w:t>
      </w:r>
      <w:bookmarkEnd w:id="273"/>
      <w:r>
        <w:rPr>
          <w:rFonts w:ascii="Times New Roman" w:hAnsi="Times New Roman" w:eastAsia="楷体"/>
          <w:b/>
          <w:color w:val="000000" w:themeColor="text1"/>
          <w:sz w:val="32"/>
          <w:szCs w:val="27"/>
          <w14:textFill>
            <w14:solidFill>
              <w14:schemeClr w14:val="tx1"/>
            </w14:solidFill>
          </w14:textFill>
        </w:rPr>
        <w:t>加强信息化平台建设</w:t>
      </w:r>
      <w:bookmarkEnd w:id="274"/>
      <w:bookmarkEnd w:id="275"/>
    </w:p>
    <w:p>
      <w:pPr>
        <w:adjustRightInd w:val="0"/>
        <w:snapToGrid w:val="0"/>
        <w:spacing w:line="360" w:lineRule="auto"/>
        <w:ind w:firstLine="640" w:firstLineChars="200"/>
        <w:rPr>
          <w:rFonts w:ascii="Times New Roman" w:hAnsi="Times New Roman" w:eastAsia="仿宋"/>
          <w:color w:val="000000" w:themeColor="text1"/>
          <w:kern w:val="0"/>
          <w:sz w:val="32"/>
          <w:szCs w:val="32"/>
          <w14:textFill>
            <w14:solidFill>
              <w14:schemeClr w14:val="tx1"/>
            </w14:solidFill>
          </w14:textFill>
        </w:rPr>
      </w:pPr>
      <w:r>
        <w:rPr>
          <w:rFonts w:ascii="Times New Roman" w:hAnsi="Times New Roman" w:eastAsia="仿宋"/>
          <w:color w:val="000000" w:themeColor="text1"/>
          <w:kern w:val="0"/>
          <w:sz w:val="32"/>
          <w:szCs w:val="32"/>
          <w14:textFill>
            <w14:solidFill>
              <w14:schemeClr w14:val="tx1"/>
            </w14:solidFill>
          </w14:textFill>
        </w:rPr>
        <w:t>继续完善和加强信息化平台建设，开展公共云服务平台和能源管控中心建设，运用智慧化手段强化监管监督；构建</w:t>
      </w:r>
      <w:r>
        <w:rPr>
          <w:rFonts w:hint="eastAsia" w:ascii="Times New Roman" w:hAnsi="Times New Roman" w:eastAsia="仿宋"/>
          <w:color w:val="000000" w:themeColor="text1"/>
          <w:kern w:val="0"/>
          <w:sz w:val="32"/>
          <w:szCs w:val="32"/>
          <w14:textFill>
            <w14:solidFill>
              <w14:schemeClr w14:val="tx1"/>
            </w14:solidFill>
          </w14:textFill>
        </w:rPr>
        <w:t>“</w:t>
      </w:r>
      <w:r>
        <w:rPr>
          <w:rFonts w:ascii="Times New Roman" w:hAnsi="Times New Roman" w:eastAsia="仿宋"/>
          <w:color w:val="000000" w:themeColor="text1"/>
          <w:kern w:val="0"/>
          <w:sz w:val="32"/>
          <w:szCs w:val="32"/>
          <w14:textFill>
            <w14:solidFill>
              <w14:schemeClr w14:val="tx1"/>
            </w14:solidFill>
          </w14:textFill>
        </w:rPr>
        <w:t>互联网＋</w:t>
      </w:r>
      <w:r>
        <w:rPr>
          <w:rFonts w:hint="eastAsia" w:ascii="Times New Roman" w:hAnsi="Times New Roman" w:eastAsia="仿宋"/>
          <w:color w:val="000000" w:themeColor="text1"/>
          <w:kern w:val="0"/>
          <w:sz w:val="32"/>
          <w:szCs w:val="32"/>
          <w14:textFill>
            <w14:solidFill>
              <w14:schemeClr w14:val="tx1"/>
            </w14:solidFill>
          </w14:textFill>
        </w:rPr>
        <w:t>”</w:t>
      </w:r>
      <w:r>
        <w:rPr>
          <w:rFonts w:ascii="Times New Roman" w:hAnsi="Times New Roman" w:eastAsia="仿宋"/>
          <w:color w:val="000000" w:themeColor="text1"/>
          <w:kern w:val="0"/>
          <w:sz w:val="32"/>
          <w:szCs w:val="32"/>
          <w14:textFill>
            <w14:solidFill>
              <w14:schemeClr w14:val="tx1"/>
            </w14:solidFill>
          </w14:textFill>
        </w:rPr>
        <w:t>行业服务体系，集成企业研发系统、信息系统、运行管理系统，逐步推进工业软件、数据管理、工程服务、技术标准等资源开放共享和云应用服务，推动预拌混凝土和预拌砂浆行业转变经营模式，构建从合同签订、原材料采购、生产、运输、销售、结算等全过程智能化管理体系，实现生产过程和产品质量可追溯功能，提升企业信息化水平。</w:t>
      </w:r>
    </w:p>
    <w:p>
      <w:pPr>
        <w:adjustRightInd w:val="0"/>
        <w:snapToGrid w:val="0"/>
        <w:spacing w:line="360" w:lineRule="auto"/>
        <w:ind w:firstLine="643" w:firstLineChars="200"/>
        <w:outlineLvl w:val="2"/>
        <w:rPr>
          <w:rFonts w:ascii="Times New Roman" w:hAnsi="Times New Roman" w:eastAsia="楷体"/>
          <w:b/>
          <w:color w:val="000000" w:themeColor="text1"/>
          <w:sz w:val="32"/>
          <w:szCs w:val="27"/>
          <w14:textFill>
            <w14:solidFill>
              <w14:schemeClr w14:val="tx1"/>
            </w14:solidFill>
          </w14:textFill>
        </w:rPr>
      </w:pPr>
      <w:bookmarkStart w:id="276" w:name="_Toc89203812"/>
      <w:bookmarkStart w:id="277" w:name="_Toc12457"/>
      <w:r>
        <w:rPr>
          <w:rFonts w:ascii="Times New Roman" w:hAnsi="Times New Roman" w:eastAsia="楷体"/>
          <w:b/>
          <w:color w:val="000000" w:themeColor="text1"/>
          <w:sz w:val="32"/>
          <w:szCs w:val="27"/>
          <w14:textFill>
            <w14:solidFill>
              <w14:schemeClr w14:val="tx1"/>
            </w14:solidFill>
          </w14:textFill>
        </w:rPr>
        <w:t>（二）推进行业智能制造转型</w:t>
      </w:r>
      <w:bookmarkEnd w:id="276"/>
      <w:bookmarkEnd w:id="277"/>
    </w:p>
    <w:p>
      <w:pPr>
        <w:adjustRightInd w:val="0"/>
        <w:snapToGrid w:val="0"/>
        <w:spacing w:line="360" w:lineRule="auto"/>
        <w:ind w:firstLine="640" w:firstLineChars="200"/>
        <w:rPr>
          <w:rFonts w:ascii="Times New Roman" w:hAnsi="Times New Roman" w:eastAsia="仿宋"/>
          <w:color w:val="000000" w:themeColor="text1"/>
          <w:kern w:val="0"/>
          <w:sz w:val="32"/>
          <w:szCs w:val="32"/>
          <w14:textFill>
            <w14:solidFill>
              <w14:schemeClr w14:val="tx1"/>
            </w14:solidFill>
          </w14:textFill>
        </w:rPr>
      </w:pPr>
      <w:r>
        <w:rPr>
          <w:rFonts w:ascii="Times New Roman" w:hAnsi="Times New Roman" w:eastAsia="仿宋"/>
          <w:color w:val="000000" w:themeColor="text1"/>
          <w:kern w:val="0"/>
          <w:sz w:val="32"/>
          <w:szCs w:val="32"/>
          <w14:textFill>
            <w14:solidFill>
              <w14:schemeClr w14:val="tx1"/>
            </w14:solidFill>
          </w14:textFill>
        </w:rPr>
        <w:t>1.围绕感知、通信、控制、设计、决策、执行等关键环节，加快生产调度与控制的智能优化系统等技术应用，全面提升研发、生产、管理、营销和服务全流程智能化水平，提高劳动生产率和降低成本。</w:t>
      </w:r>
    </w:p>
    <w:p>
      <w:pPr>
        <w:adjustRightInd w:val="0"/>
        <w:snapToGrid w:val="0"/>
        <w:spacing w:line="360" w:lineRule="auto"/>
        <w:ind w:firstLine="640" w:firstLineChars="200"/>
        <w:rPr>
          <w:rFonts w:ascii="Times New Roman" w:hAnsi="Times New Roman" w:eastAsia="仿宋"/>
          <w:color w:val="000000" w:themeColor="text1"/>
          <w:kern w:val="0"/>
          <w:sz w:val="32"/>
          <w:szCs w:val="32"/>
          <w14:textFill>
            <w14:solidFill>
              <w14:schemeClr w14:val="tx1"/>
            </w14:solidFill>
          </w14:textFill>
        </w:rPr>
      </w:pPr>
      <w:r>
        <w:rPr>
          <w:rFonts w:ascii="Times New Roman" w:hAnsi="Times New Roman" w:eastAsia="仿宋"/>
          <w:color w:val="000000" w:themeColor="text1"/>
          <w:kern w:val="0"/>
          <w:sz w:val="32"/>
          <w:szCs w:val="32"/>
          <w14:textFill>
            <w14:solidFill>
              <w14:schemeClr w14:val="tx1"/>
            </w14:solidFill>
          </w14:textFill>
        </w:rPr>
        <w:t>2.以企业为主体、市场为导向、应用为核心，围绕流程性智能制造、网络协同、大规模个性化定制、远程运维服务等模式，开展产业智能制造试点示范，建设若干家智能工厂以及智能云服务平台，推进建设绿色散装水泥产业特色智慧园区，探索与实践有效的经验和模式，不断丰富成熟后在行业内全面推广，改造现有生产线，推动生产方式向智能、柔性、精细化转变，建立</w:t>
      </w:r>
      <w:r>
        <w:rPr>
          <w:rFonts w:hint="eastAsia" w:ascii="Times New Roman" w:hAnsi="Times New Roman" w:eastAsia="仿宋"/>
          <w:color w:val="000000" w:themeColor="text1"/>
          <w:kern w:val="0"/>
          <w:sz w:val="32"/>
          <w:szCs w:val="32"/>
          <w14:textFill>
            <w14:solidFill>
              <w14:schemeClr w14:val="tx1"/>
            </w14:solidFill>
          </w14:textFill>
        </w:rPr>
        <w:t>“</w:t>
      </w:r>
      <w:r>
        <w:rPr>
          <w:rFonts w:ascii="Times New Roman" w:hAnsi="Times New Roman" w:eastAsia="仿宋"/>
          <w:color w:val="000000" w:themeColor="text1"/>
          <w:kern w:val="0"/>
          <w:sz w:val="32"/>
          <w:szCs w:val="32"/>
          <w14:textFill>
            <w14:solidFill>
              <w14:schemeClr w14:val="tx1"/>
            </w14:solidFill>
          </w14:textFill>
        </w:rPr>
        <w:t>互联网+</w:t>
      </w:r>
      <w:r>
        <w:rPr>
          <w:rFonts w:hint="eastAsia" w:ascii="Times New Roman" w:hAnsi="Times New Roman" w:eastAsia="仿宋"/>
          <w:color w:val="000000" w:themeColor="text1"/>
          <w:kern w:val="0"/>
          <w:sz w:val="32"/>
          <w:szCs w:val="32"/>
          <w14:textFill>
            <w14:solidFill>
              <w14:schemeClr w14:val="tx1"/>
            </w14:solidFill>
          </w14:textFill>
        </w:rPr>
        <w:t>”</w:t>
      </w:r>
      <w:r>
        <w:rPr>
          <w:rFonts w:ascii="Times New Roman" w:hAnsi="Times New Roman" w:eastAsia="仿宋"/>
          <w:color w:val="000000" w:themeColor="text1"/>
          <w:kern w:val="0"/>
          <w:sz w:val="32"/>
          <w:szCs w:val="32"/>
          <w14:textFill>
            <w14:solidFill>
              <w14:schemeClr w14:val="tx1"/>
            </w14:solidFill>
          </w14:textFill>
        </w:rPr>
        <w:t>协同制造的产业新模式。推进电子商务和大数据服务体系建设。</w:t>
      </w:r>
    </w:p>
    <w:p>
      <w:pPr>
        <w:keepNext/>
        <w:keepLines/>
        <w:adjustRightInd w:val="0"/>
        <w:snapToGrid w:val="0"/>
        <w:spacing w:line="360" w:lineRule="auto"/>
        <w:ind w:firstLine="640" w:firstLineChars="200"/>
        <w:outlineLvl w:val="1"/>
        <w:rPr>
          <w:rFonts w:ascii="Times New Roman" w:hAnsi="Times New Roman" w:eastAsia="黑体"/>
          <w:bCs/>
          <w:color w:val="000000" w:themeColor="text1"/>
          <w:sz w:val="32"/>
          <w:szCs w:val="26"/>
          <w14:textFill>
            <w14:solidFill>
              <w14:schemeClr w14:val="tx1"/>
            </w14:solidFill>
          </w14:textFill>
        </w:rPr>
      </w:pPr>
      <w:bookmarkStart w:id="278" w:name="_Toc10109"/>
      <w:bookmarkStart w:id="279" w:name="_Toc16219"/>
      <w:bookmarkStart w:id="280" w:name="_Toc31336"/>
      <w:bookmarkStart w:id="281" w:name="_Toc9453"/>
      <w:bookmarkStart w:id="282" w:name="_Toc21283"/>
      <w:bookmarkStart w:id="283" w:name="_Toc89203813"/>
      <w:bookmarkStart w:id="284" w:name="_Toc19934"/>
      <w:bookmarkStart w:id="285" w:name="_Toc18500"/>
      <w:bookmarkStart w:id="286" w:name="_Toc23317"/>
      <w:bookmarkStart w:id="287" w:name="_Toc9526"/>
      <w:bookmarkStart w:id="288" w:name="_Toc21403"/>
      <w:bookmarkStart w:id="289" w:name="_Toc22247"/>
      <w:bookmarkStart w:id="290" w:name="_Toc5544"/>
      <w:bookmarkStart w:id="291" w:name="_Toc2031"/>
      <w:bookmarkStart w:id="292" w:name="_Toc23256"/>
      <w:r>
        <w:rPr>
          <w:rFonts w:hint="eastAsia" w:ascii="Times New Roman" w:hAnsi="Times New Roman" w:eastAsia="黑体"/>
          <w:bCs/>
          <w:color w:val="000000" w:themeColor="text1"/>
          <w:sz w:val="32"/>
          <w:szCs w:val="26"/>
          <w14:textFill>
            <w14:solidFill>
              <w14:schemeClr w14:val="tx1"/>
            </w14:solidFill>
          </w14:textFill>
        </w:rPr>
        <w:t>七</w:t>
      </w:r>
      <w:r>
        <w:rPr>
          <w:rFonts w:ascii="Times New Roman" w:hAnsi="Times New Roman" w:eastAsia="黑体"/>
          <w:bCs/>
          <w:color w:val="000000" w:themeColor="text1"/>
          <w:sz w:val="32"/>
          <w:szCs w:val="26"/>
          <w14:textFill>
            <w14:solidFill>
              <w14:schemeClr w14:val="tx1"/>
            </w14:solidFill>
          </w14:textFill>
        </w:rPr>
        <w:t>、完善机制</w:t>
      </w:r>
      <w:bookmarkEnd w:id="278"/>
      <w:bookmarkEnd w:id="279"/>
      <w:bookmarkEnd w:id="280"/>
      <w:bookmarkEnd w:id="281"/>
      <w:r>
        <w:rPr>
          <w:rFonts w:ascii="Times New Roman" w:hAnsi="Times New Roman" w:eastAsia="黑体"/>
          <w:bCs/>
          <w:color w:val="000000" w:themeColor="text1"/>
          <w:sz w:val="32"/>
          <w:szCs w:val="26"/>
          <w14:textFill>
            <w14:solidFill>
              <w14:schemeClr w14:val="tx1"/>
            </w14:solidFill>
          </w14:textFill>
        </w:rPr>
        <w:t>，推进行业规范化管理</w:t>
      </w:r>
      <w:bookmarkEnd w:id="282"/>
      <w:bookmarkEnd w:id="283"/>
      <w:bookmarkEnd w:id="284"/>
      <w:bookmarkEnd w:id="285"/>
      <w:bookmarkEnd w:id="286"/>
      <w:bookmarkEnd w:id="287"/>
      <w:bookmarkEnd w:id="288"/>
      <w:bookmarkEnd w:id="289"/>
      <w:bookmarkEnd w:id="290"/>
      <w:bookmarkEnd w:id="291"/>
      <w:bookmarkEnd w:id="292"/>
    </w:p>
    <w:p>
      <w:pPr>
        <w:adjustRightInd w:val="0"/>
        <w:snapToGrid w:val="0"/>
        <w:spacing w:line="360" w:lineRule="auto"/>
        <w:ind w:firstLine="643" w:firstLineChars="200"/>
        <w:outlineLvl w:val="2"/>
        <w:rPr>
          <w:rFonts w:ascii="Times New Roman" w:hAnsi="Times New Roman" w:eastAsia="楷体"/>
          <w:b/>
          <w:color w:val="000000" w:themeColor="text1"/>
          <w:sz w:val="32"/>
          <w:szCs w:val="27"/>
          <w14:textFill>
            <w14:solidFill>
              <w14:schemeClr w14:val="tx1"/>
            </w14:solidFill>
          </w14:textFill>
        </w:rPr>
      </w:pPr>
      <w:bookmarkStart w:id="293" w:name="_Toc16310"/>
      <w:bookmarkStart w:id="294" w:name="_Toc89203814"/>
      <w:r>
        <w:rPr>
          <w:rFonts w:ascii="Times New Roman" w:hAnsi="Times New Roman" w:eastAsia="楷体"/>
          <w:b/>
          <w:color w:val="000000" w:themeColor="text1"/>
          <w:sz w:val="32"/>
          <w:szCs w:val="27"/>
          <w14:textFill>
            <w14:solidFill>
              <w14:schemeClr w14:val="tx1"/>
            </w14:solidFill>
          </w14:textFill>
        </w:rPr>
        <w:t>（一）完善行业监督管理机制</w:t>
      </w:r>
      <w:bookmarkEnd w:id="293"/>
      <w:bookmarkEnd w:id="294"/>
    </w:p>
    <w:p>
      <w:pPr>
        <w:adjustRightInd w:val="0"/>
        <w:snapToGrid w:val="0"/>
        <w:spacing w:line="360" w:lineRule="auto"/>
        <w:ind w:firstLine="640" w:firstLineChars="200"/>
        <w:rPr>
          <w:rFonts w:ascii="Times New Roman" w:hAnsi="Times New Roman" w:eastAsia="仿宋"/>
          <w:color w:val="000000" w:themeColor="text1"/>
          <w:kern w:val="0"/>
          <w:sz w:val="32"/>
          <w:szCs w:val="32"/>
          <w14:textFill>
            <w14:solidFill>
              <w14:schemeClr w14:val="tx1"/>
            </w14:solidFill>
          </w14:textFill>
        </w:rPr>
      </w:pPr>
      <w:r>
        <w:rPr>
          <w:rFonts w:ascii="Times New Roman" w:hAnsi="Times New Roman" w:eastAsia="仿宋"/>
          <w:color w:val="000000" w:themeColor="text1"/>
          <w:kern w:val="0"/>
          <w:sz w:val="32"/>
          <w:szCs w:val="32"/>
          <w14:textFill>
            <w14:solidFill>
              <w14:schemeClr w14:val="tx1"/>
            </w14:solidFill>
          </w14:textFill>
        </w:rPr>
        <w:t>1.依照相关法律法规进一步完善行业监督管理机制，</w:t>
      </w:r>
      <w:r>
        <w:rPr>
          <w:rFonts w:hint="eastAsia" w:ascii="Times New Roman" w:hAnsi="Times New Roman" w:eastAsia="仿宋"/>
          <w:color w:val="000000" w:themeColor="text1"/>
          <w:kern w:val="0"/>
          <w:sz w:val="32"/>
          <w:szCs w:val="32"/>
          <w14:textFill>
            <w14:solidFill>
              <w14:schemeClr w14:val="tx1"/>
            </w14:solidFill>
          </w14:textFill>
        </w:rPr>
        <w:t>“</w:t>
      </w:r>
      <w:r>
        <w:rPr>
          <w:rFonts w:ascii="Times New Roman" w:hAnsi="Times New Roman" w:eastAsia="仿宋"/>
          <w:color w:val="000000" w:themeColor="text1"/>
          <w:kern w:val="0"/>
          <w:sz w:val="32"/>
          <w:szCs w:val="32"/>
          <w14:textFill>
            <w14:solidFill>
              <w14:schemeClr w14:val="tx1"/>
            </w14:solidFill>
          </w14:textFill>
        </w:rPr>
        <w:t>依法治散，依法兴散</w:t>
      </w:r>
      <w:r>
        <w:rPr>
          <w:rFonts w:hint="eastAsia" w:ascii="Times New Roman" w:hAnsi="Times New Roman" w:eastAsia="仿宋"/>
          <w:color w:val="000000" w:themeColor="text1"/>
          <w:kern w:val="0"/>
          <w:sz w:val="32"/>
          <w:szCs w:val="32"/>
          <w14:textFill>
            <w14:solidFill>
              <w14:schemeClr w14:val="tx1"/>
            </w14:solidFill>
          </w14:textFill>
        </w:rPr>
        <w:t>”</w:t>
      </w:r>
      <w:r>
        <w:rPr>
          <w:rFonts w:ascii="Times New Roman" w:hAnsi="Times New Roman" w:eastAsia="仿宋"/>
          <w:color w:val="000000" w:themeColor="text1"/>
          <w:kern w:val="0"/>
          <w:sz w:val="32"/>
          <w:szCs w:val="32"/>
          <w14:textFill>
            <w14:solidFill>
              <w14:schemeClr w14:val="tx1"/>
            </w14:solidFill>
          </w14:textFill>
        </w:rPr>
        <w:t>，遏制无专业承包资质混凝土企业违规生产、销售预拌混凝土现象</w:t>
      </w:r>
      <w:r>
        <w:rPr>
          <w:rFonts w:hint="eastAsia" w:ascii="Times New Roman" w:hAnsi="Times New Roman" w:eastAsia="仿宋"/>
          <w:color w:val="000000" w:themeColor="text1"/>
          <w:kern w:val="0"/>
          <w:sz w:val="32"/>
          <w:szCs w:val="32"/>
          <w14:textFill>
            <w14:solidFill>
              <w14:schemeClr w14:val="tx1"/>
            </w14:solidFill>
          </w14:textFill>
        </w:rPr>
        <w:t>“</w:t>
      </w:r>
      <w:r>
        <w:rPr>
          <w:rFonts w:ascii="Times New Roman" w:hAnsi="Times New Roman" w:eastAsia="仿宋"/>
          <w:color w:val="000000" w:themeColor="text1"/>
          <w:kern w:val="0"/>
          <w:sz w:val="32"/>
          <w:szCs w:val="32"/>
          <w14:textFill>
            <w14:solidFill>
              <w14:schemeClr w14:val="tx1"/>
            </w14:solidFill>
          </w14:textFill>
        </w:rPr>
        <w:t>死灰复燃</w:t>
      </w:r>
      <w:r>
        <w:rPr>
          <w:rFonts w:hint="eastAsia" w:ascii="Times New Roman" w:hAnsi="Times New Roman" w:eastAsia="仿宋"/>
          <w:color w:val="000000" w:themeColor="text1"/>
          <w:kern w:val="0"/>
          <w:sz w:val="32"/>
          <w:szCs w:val="32"/>
          <w14:textFill>
            <w14:solidFill>
              <w14:schemeClr w14:val="tx1"/>
            </w14:solidFill>
          </w14:textFill>
        </w:rPr>
        <w:t>”</w:t>
      </w:r>
      <w:r>
        <w:rPr>
          <w:rFonts w:ascii="Times New Roman" w:hAnsi="Times New Roman" w:eastAsia="仿宋"/>
          <w:color w:val="000000" w:themeColor="text1"/>
          <w:kern w:val="0"/>
          <w:sz w:val="32"/>
          <w:szCs w:val="32"/>
          <w14:textFill>
            <w14:solidFill>
              <w14:schemeClr w14:val="tx1"/>
            </w14:solidFill>
          </w14:textFill>
        </w:rPr>
        <w:t>，规范行业市场秩序，严格把握行业准入门槛，落实落细</w:t>
      </w:r>
      <w:r>
        <w:rPr>
          <w:rFonts w:hint="eastAsia" w:ascii="Times New Roman" w:hAnsi="Times New Roman" w:eastAsia="仿宋"/>
          <w:color w:val="000000" w:themeColor="text1"/>
          <w:kern w:val="0"/>
          <w:sz w:val="32"/>
          <w:szCs w:val="32"/>
          <w14:textFill>
            <w14:solidFill>
              <w14:schemeClr w14:val="tx1"/>
            </w14:solidFill>
          </w14:textFill>
        </w:rPr>
        <w:t>“</w:t>
      </w:r>
      <w:r>
        <w:rPr>
          <w:rFonts w:ascii="Times New Roman" w:hAnsi="Times New Roman" w:eastAsia="仿宋"/>
          <w:color w:val="000000" w:themeColor="text1"/>
          <w:kern w:val="0"/>
          <w:sz w:val="32"/>
          <w:szCs w:val="32"/>
          <w14:textFill>
            <w14:solidFill>
              <w14:schemeClr w14:val="tx1"/>
            </w14:solidFill>
          </w14:textFill>
        </w:rPr>
        <w:t>僵尸产能</w:t>
      </w:r>
      <w:r>
        <w:rPr>
          <w:rFonts w:hint="eastAsia" w:ascii="Times New Roman" w:hAnsi="Times New Roman" w:eastAsia="仿宋"/>
          <w:color w:val="000000" w:themeColor="text1"/>
          <w:kern w:val="0"/>
          <w:sz w:val="32"/>
          <w:szCs w:val="32"/>
          <w14:textFill>
            <w14:solidFill>
              <w14:schemeClr w14:val="tx1"/>
            </w14:solidFill>
          </w14:textFill>
        </w:rPr>
        <w:t>”</w:t>
      </w:r>
      <w:r>
        <w:rPr>
          <w:rFonts w:ascii="Times New Roman" w:hAnsi="Times New Roman" w:eastAsia="仿宋"/>
          <w:color w:val="000000" w:themeColor="text1"/>
          <w:kern w:val="0"/>
          <w:sz w:val="32"/>
          <w:szCs w:val="32"/>
          <w14:textFill>
            <w14:solidFill>
              <w14:schemeClr w14:val="tx1"/>
            </w14:solidFill>
          </w14:textFill>
        </w:rPr>
        <w:t>和落后产能退出机制，严肃行业生产数据统计报送管理，严格开展专项检查，保障行业产品质量与生产、运输安全。</w:t>
      </w:r>
    </w:p>
    <w:p>
      <w:pPr>
        <w:adjustRightInd w:val="0"/>
        <w:snapToGrid w:val="0"/>
        <w:spacing w:line="360" w:lineRule="auto"/>
        <w:ind w:firstLine="640" w:firstLineChars="200"/>
        <w:rPr>
          <w:rFonts w:ascii="Times New Roman" w:hAnsi="Times New Roman" w:eastAsia="仿宋"/>
          <w:color w:val="000000" w:themeColor="text1"/>
          <w:kern w:val="0"/>
          <w:sz w:val="32"/>
          <w:szCs w:val="32"/>
          <w14:textFill>
            <w14:solidFill>
              <w14:schemeClr w14:val="tx1"/>
            </w14:solidFill>
          </w14:textFill>
        </w:rPr>
      </w:pPr>
      <w:r>
        <w:rPr>
          <w:rFonts w:ascii="Times New Roman" w:hAnsi="Times New Roman" w:eastAsia="仿宋"/>
          <w:color w:val="000000" w:themeColor="text1"/>
          <w:kern w:val="0"/>
          <w:sz w:val="32"/>
          <w:szCs w:val="32"/>
          <w14:textFill>
            <w14:solidFill>
              <w14:schemeClr w14:val="tx1"/>
            </w14:solidFill>
          </w14:textFill>
        </w:rPr>
        <w:t>2.继续完善行业监管信息平台建设，运用信息化技术对产业产品质量与生产、运输安全进行动态监管，形成规范化、常态化、动态与静态管理相结合的监管机制。</w:t>
      </w:r>
    </w:p>
    <w:p>
      <w:pPr>
        <w:adjustRightInd w:val="0"/>
        <w:snapToGrid w:val="0"/>
        <w:spacing w:line="360" w:lineRule="auto"/>
        <w:ind w:firstLine="640" w:firstLineChars="200"/>
        <w:rPr>
          <w:rFonts w:ascii="Times New Roman" w:hAnsi="Times New Roman" w:eastAsia="仿宋"/>
          <w:color w:val="000000" w:themeColor="text1"/>
          <w:kern w:val="0"/>
          <w:sz w:val="32"/>
          <w:szCs w:val="32"/>
          <w14:textFill>
            <w14:solidFill>
              <w14:schemeClr w14:val="tx1"/>
            </w14:solidFill>
          </w14:textFill>
        </w:rPr>
      </w:pPr>
      <w:r>
        <w:rPr>
          <w:rFonts w:ascii="Times New Roman" w:hAnsi="Times New Roman" w:eastAsia="仿宋"/>
          <w:color w:val="000000" w:themeColor="text1"/>
          <w:kern w:val="0"/>
          <w:sz w:val="32"/>
          <w:szCs w:val="32"/>
          <w14:textFill>
            <w14:solidFill>
              <w14:schemeClr w14:val="tx1"/>
            </w14:solidFill>
          </w14:textFill>
        </w:rPr>
        <w:t>3.创新规划管理，建立散装水泥产业规划布点会商制度，加强项目用地保障，探索将产业布点规划控制指标纳入土地公开招拍挂中的必备事项，加强事中事后监管。</w:t>
      </w:r>
    </w:p>
    <w:p>
      <w:pPr>
        <w:adjustRightInd w:val="0"/>
        <w:snapToGrid w:val="0"/>
        <w:spacing w:line="360" w:lineRule="auto"/>
        <w:ind w:firstLine="640" w:firstLineChars="200"/>
        <w:rPr>
          <w:rFonts w:ascii="Times New Roman" w:hAnsi="Times New Roman" w:eastAsia="仿宋"/>
          <w:color w:val="000000" w:themeColor="text1"/>
          <w:kern w:val="0"/>
          <w:sz w:val="32"/>
          <w:szCs w:val="32"/>
          <w14:textFill>
            <w14:solidFill>
              <w14:schemeClr w14:val="tx1"/>
            </w14:solidFill>
          </w14:textFill>
        </w:rPr>
      </w:pPr>
      <w:r>
        <w:rPr>
          <w:rFonts w:ascii="Times New Roman" w:hAnsi="Times New Roman" w:eastAsia="仿宋"/>
          <w:color w:val="000000" w:themeColor="text1"/>
          <w:kern w:val="0"/>
          <w:sz w:val="32"/>
          <w:szCs w:val="32"/>
          <w14:textFill>
            <w14:solidFill>
              <w14:schemeClr w14:val="tx1"/>
            </w14:solidFill>
          </w14:textFill>
        </w:rPr>
        <w:t>4.建立示范推广机制，引领行业发展，加强推广应用示范项目建设，选取</w:t>
      </w:r>
      <w:r>
        <w:rPr>
          <w:rFonts w:hint="eastAsia" w:ascii="Times New Roman" w:hAnsi="Times New Roman" w:eastAsia="仿宋"/>
          <w:color w:val="000000" w:themeColor="text1"/>
          <w:kern w:val="0"/>
          <w:sz w:val="32"/>
          <w:szCs w:val="32"/>
          <w14:textFill>
            <w14:solidFill>
              <w14:schemeClr w14:val="tx1"/>
            </w14:solidFill>
          </w14:textFill>
        </w:rPr>
        <w:t>2～3个</w:t>
      </w:r>
      <w:r>
        <w:rPr>
          <w:rFonts w:ascii="Times New Roman" w:hAnsi="Times New Roman" w:eastAsia="仿宋"/>
          <w:color w:val="000000" w:themeColor="text1"/>
          <w:kern w:val="0"/>
          <w:sz w:val="32"/>
          <w:szCs w:val="32"/>
          <w14:textFill>
            <w14:solidFill>
              <w14:schemeClr w14:val="tx1"/>
            </w14:solidFill>
          </w14:textFill>
        </w:rPr>
        <w:t>标准化建设程度高、实现绿色化和智能化生产企业作为示范点，以点带面，引领行业高质量发展。</w:t>
      </w:r>
    </w:p>
    <w:p>
      <w:pPr>
        <w:adjustRightInd w:val="0"/>
        <w:snapToGrid w:val="0"/>
        <w:spacing w:line="360" w:lineRule="auto"/>
        <w:ind w:firstLine="643" w:firstLineChars="200"/>
        <w:outlineLvl w:val="2"/>
        <w:rPr>
          <w:rFonts w:ascii="Times New Roman" w:hAnsi="Times New Roman" w:eastAsia="楷体"/>
          <w:b/>
          <w:color w:val="000000" w:themeColor="text1"/>
          <w:sz w:val="32"/>
          <w:szCs w:val="27"/>
          <w14:textFill>
            <w14:solidFill>
              <w14:schemeClr w14:val="tx1"/>
            </w14:solidFill>
          </w14:textFill>
        </w:rPr>
      </w:pPr>
      <w:bookmarkStart w:id="295" w:name="_Toc27604"/>
      <w:bookmarkStart w:id="296" w:name="_Toc89203815"/>
      <w:r>
        <w:rPr>
          <w:rFonts w:ascii="Times New Roman" w:hAnsi="Times New Roman" w:eastAsia="楷体"/>
          <w:b/>
          <w:color w:val="000000" w:themeColor="text1"/>
          <w:sz w:val="32"/>
          <w:szCs w:val="27"/>
          <w14:textFill>
            <w14:solidFill>
              <w14:schemeClr w14:val="tx1"/>
            </w14:solidFill>
          </w14:textFill>
        </w:rPr>
        <w:t>（二）积极发挥行业协会作用</w:t>
      </w:r>
      <w:bookmarkEnd w:id="295"/>
      <w:bookmarkEnd w:id="296"/>
    </w:p>
    <w:p>
      <w:pPr>
        <w:adjustRightInd w:val="0"/>
        <w:snapToGrid w:val="0"/>
        <w:spacing w:line="360" w:lineRule="auto"/>
        <w:ind w:firstLine="640" w:firstLineChars="200"/>
        <w:rPr>
          <w:rFonts w:ascii="Times New Roman" w:hAnsi="Times New Roman" w:eastAsia="仿宋"/>
          <w:color w:val="000000" w:themeColor="text1"/>
          <w:kern w:val="0"/>
          <w:sz w:val="32"/>
          <w:szCs w:val="32"/>
          <w14:textFill>
            <w14:solidFill>
              <w14:schemeClr w14:val="tx1"/>
            </w14:solidFill>
          </w14:textFill>
        </w:rPr>
      </w:pPr>
      <w:r>
        <w:rPr>
          <w:rFonts w:ascii="Times New Roman" w:hAnsi="Times New Roman" w:eastAsia="仿宋"/>
          <w:color w:val="000000" w:themeColor="text1"/>
          <w:kern w:val="0"/>
          <w:sz w:val="32"/>
          <w:szCs w:val="32"/>
          <w14:textFill>
            <w14:solidFill>
              <w14:schemeClr w14:val="tx1"/>
            </w14:solidFill>
          </w14:textFill>
        </w:rPr>
        <w:t>1.加强对预拌混凝土预拌砂浆行业协会的管理、指导和服务，规范行业协会承担政府购买服务工作行为，通过协会活动来推动行业自律协调。</w:t>
      </w:r>
    </w:p>
    <w:p>
      <w:pPr>
        <w:adjustRightInd w:val="0"/>
        <w:snapToGrid w:val="0"/>
        <w:spacing w:line="360" w:lineRule="auto"/>
        <w:ind w:firstLine="640" w:firstLineChars="200"/>
        <w:rPr>
          <w:rFonts w:ascii="Times New Roman" w:hAnsi="Times New Roman" w:eastAsia="仿宋"/>
          <w:color w:val="000000" w:themeColor="text1"/>
          <w:kern w:val="0"/>
          <w:sz w:val="32"/>
          <w:szCs w:val="32"/>
          <w14:textFill>
            <w14:solidFill>
              <w14:schemeClr w14:val="tx1"/>
            </w14:solidFill>
          </w14:textFill>
        </w:rPr>
      </w:pPr>
      <w:r>
        <w:rPr>
          <w:rFonts w:ascii="Times New Roman" w:hAnsi="Times New Roman" w:eastAsia="仿宋"/>
          <w:color w:val="000000" w:themeColor="text1"/>
          <w:kern w:val="0"/>
          <w:sz w:val="32"/>
          <w:szCs w:val="32"/>
          <w14:textFill>
            <w14:solidFill>
              <w14:schemeClr w14:val="tx1"/>
            </w14:solidFill>
          </w14:textFill>
        </w:rPr>
        <w:t>2.完善行业协会治理结构，发挥企业与行业专家作用，进一步改善协会治理结构，建立行业龙头企业、研究院所、行业专家共同组成的协会群体，让企业与行业专家承担更大的责任，充分发挥企业与行业专家在规划实施、行业发展中的作用。</w:t>
      </w:r>
    </w:p>
    <w:p>
      <w:pPr>
        <w:adjustRightInd w:val="0"/>
        <w:snapToGrid w:val="0"/>
        <w:spacing w:line="360" w:lineRule="auto"/>
        <w:ind w:firstLine="640" w:firstLineChars="200"/>
        <w:rPr>
          <w:rFonts w:ascii="Times New Roman" w:hAnsi="Times New Roman" w:eastAsia="仿宋"/>
          <w:color w:val="000000" w:themeColor="text1"/>
          <w:kern w:val="0"/>
          <w:sz w:val="32"/>
          <w:szCs w:val="32"/>
          <w14:textFill>
            <w14:solidFill>
              <w14:schemeClr w14:val="tx1"/>
            </w14:solidFill>
          </w14:textFill>
        </w:rPr>
      </w:pPr>
      <w:r>
        <w:rPr>
          <w:rFonts w:ascii="Times New Roman" w:hAnsi="Times New Roman" w:eastAsia="仿宋"/>
          <w:color w:val="000000" w:themeColor="text1"/>
          <w:kern w:val="0"/>
          <w:sz w:val="32"/>
          <w:szCs w:val="32"/>
          <w14:textFill>
            <w14:solidFill>
              <w14:schemeClr w14:val="tx1"/>
            </w14:solidFill>
          </w14:textFill>
        </w:rPr>
        <w:t>3.完善相关政策支持，加强行业自律管理，完善相关产业政策，明确行业协会在行业自律、反映行业诉求、营造公平竞争环境、推动行业诚信建设、建立健全行业职业道德准则等方面的作用。</w:t>
      </w:r>
    </w:p>
    <w:p>
      <w:pPr>
        <w:adjustRightInd w:val="0"/>
        <w:snapToGrid w:val="0"/>
        <w:spacing w:line="360" w:lineRule="auto"/>
        <w:ind w:firstLine="643" w:firstLineChars="200"/>
        <w:outlineLvl w:val="2"/>
        <w:rPr>
          <w:rFonts w:ascii="Times New Roman" w:hAnsi="Times New Roman" w:eastAsia="楷体"/>
          <w:b/>
          <w:color w:val="000000" w:themeColor="text1"/>
          <w:sz w:val="32"/>
          <w:szCs w:val="27"/>
          <w14:textFill>
            <w14:solidFill>
              <w14:schemeClr w14:val="tx1"/>
            </w14:solidFill>
          </w14:textFill>
        </w:rPr>
      </w:pPr>
      <w:bookmarkStart w:id="297" w:name="_Toc89203816"/>
      <w:bookmarkStart w:id="298" w:name="_Toc2155"/>
      <w:r>
        <w:rPr>
          <w:rFonts w:ascii="Times New Roman" w:hAnsi="Times New Roman" w:eastAsia="楷体"/>
          <w:b/>
          <w:color w:val="000000" w:themeColor="text1"/>
          <w:sz w:val="32"/>
          <w:szCs w:val="27"/>
          <w14:textFill>
            <w14:solidFill>
              <w14:schemeClr w14:val="tx1"/>
            </w14:solidFill>
          </w14:textFill>
        </w:rPr>
        <w:t>（三）推进行业诚信体系建设</w:t>
      </w:r>
      <w:bookmarkEnd w:id="297"/>
      <w:bookmarkEnd w:id="298"/>
    </w:p>
    <w:p>
      <w:pPr>
        <w:adjustRightInd w:val="0"/>
        <w:snapToGrid w:val="0"/>
        <w:spacing w:line="360" w:lineRule="auto"/>
        <w:ind w:firstLine="640" w:firstLineChars="200"/>
        <w:rPr>
          <w:rFonts w:ascii="Times New Roman" w:hAnsi="Times New Roman" w:eastAsia="仿宋"/>
          <w:color w:val="000000" w:themeColor="text1"/>
          <w:kern w:val="0"/>
          <w:sz w:val="32"/>
          <w:szCs w:val="32"/>
          <w14:textFill>
            <w14:solidFill>
              <w14:schemeClr w14:val="tx1"/>
            </w14:solidFill>
          </w14:textFill>
        </w:rPr>
      </w:pPr>
      <w:r>
        <w:rPr>
          <w:rFonts w:ascii="Times New Roman" w:hAnsi="Times New Roman" w:eastAsia="仿宋"/>
          <w:color w:val="000000" w:themeColor="text1"/>
          <w:kern w:val="0"/>
          <w:sz w:val="32"/>
          <w:szCs w:val="32"/>
          <w14:textFill>
            <w14:solidFill>
              <w14:schemeClr w14:val="tx1"/>
            </w14:solidFill>
          </w14:textFill>
        </w:rPr>
        <w:t>1.开展诚信建设专题宣传，积极营造诚信建设的舆论氛围，加强地区间、行业间、企业间交流，及时借鉴、学习、总结开展信用建设和信用监管的好经验、好做法。</w:t>
      </w:r>
    </w:p>
    <w:p>
      <w:pPr>
        <w:adjustRightInd w:val="0"/>
        <w:snapToGrid w:val="0"/>
        <w:spacing w:line="360" w:lineRule="auto"/>
        <w:ind w:firstLine="640" w:firstLineChars="200"/>
        <w:rPr>
          <w:rFonts w:ascii="Times New Roman" w:hAnsi="Times New Roman" w:eastAsia="仿宋"/>
          <w:color w:val="000000" w:themeColor="text1"/>
          <w:kern w:val="0"/>
          <w:sz w:val="32"/>
          <w:szCs w:val="32"/>
          <w14:textFill>
            <w14:solidFill>
              <w14:schemeClr w14:val="tx1"/>
            </w14:solidFill>
          </w14:textFill>
        </w:rPr>
        <w:sectPr>
          <w:pgSz w:w="11906" w:h="16838"/>
          <w:pgMar w:top="1440" w:right="1800" w:bottom="1440" w:left="1800" w:header="851" w:footer="992" w:gutter="0"/>
          <w:cols w:space="425" w:num="1"/>
          <w:docGrid w:type="lines" w:linePitch="312" w:charSpace="0"/>
        </w:sectPr>
      </w:pPr>
      <w:r>
        <w:rPr>
          <w:rFonts w:ascii="Times New Roman" w:hAnsi="Times New Roman" w:eastAsia="仿宋"/>
          <w:color w:val="000000" w:themeColor="text1"/>
          <w:kern w:val="0"/>
          <w:sz w:val="32"/>
          <w:szCs w:val="32"/>
          <w14:textFill>
            <w14:solidFill>
              <w14:schemeClr w14:val="tx1"/>
            </w14:solidFill>
          </w14:textFill>
        </w:rPr>
        <w:t>2.建立钦州市散装水泥行业企业名录管理制度，推进行业诚信体系建设，鼓励诚信行为、惩治失信行为，探索将预拌混凝土生产站点违法违规经营、为违法违规经营站点提供条件等情形列入违法失信企业名单，确保散装水泥、预拌混凝土和预拌砂浆产业的可持续健康发展。</w:t>
      </w:r>
    </w:p>
    <w:p>
      <w:pPr>
        <w:widowControl/>
        <w:adjustRightInd w:val="0"/>
        <w:snapToGrid w:val="0"/>
        <w:spacing w:after="312" w:afterLines="100" w:line="360" w:lineRule="auto"/>
        <w:jc w:val="center"/>
        <w:outlineLvl w:val="0"/>
        <w:rPr>
          <w:rFonts w:ascii="Times New Roman" w:hAnsi="Times New Roman"/>
          <w:color w:val="000000" w:themeColor="text1"/>
          <w14:textFill>
            <w14:solidFill>
              <w14:schemeClr w14:val="tx1"/>
            </w14:solidFill>
          </w14:textFill>
        </w:rPr>
      </w:pPr>
      <w:bookmarkStart w:id="299" w:name="_Toc16164"/>
      <w:bookmarkStart w:id="300" w:name="_Toc89203818"/>
      <w:bookmarkStart w:id="301" w:name="_Toc23224"/>
      <w:bookmarkStart w:id="302" w:name="_Toc25644"/>
      <w:bookmarkStart w:id="303" w:name="_Toc4469"/>
      <w:r>
        <w:rPr>
          <w:rFonts w:ascii="Times New Roman" w:hAnsi="Times New Roman" w:eastAsia="黑体"/>
          <w:color w:val="000000" w:themeColor="text1"/>
          <w:kern w:val="0"/>
          <w:sz w:val="36"/>
          <w:szCs w:val="36"/>
          <w:lang w:bidi="ar"/>
          <w14:textFill>
            <w14:solidFill>
              <w14:schemeClr w14:val="tx1"/>
            </w14:solidFill>
          </w14:textFill>
        </w:rPr>
        <w:t>第六章</w:t>
      </w:r>
      <w:r>
        <w:rPr>
          <w:rFonts w:hint="eastAsia" w:ascii="Times New Roman" w:hAnsi="Times New Roman" w:eastAsia="黑体"/>
          <w:color w:val="000000" w:themeColor="text1"/>
          <w:kern w:val="0"/>
          <w:sz w:val="36"/>
          <w:szCs w:val="36"/>
          <w:lang w:bidi="ar"/>
          <w14:textFill>
            <w14:solidFill>
              <w14:schemeClr w14:val="tx1"/>
            </w14:solidFill>
          </w14:textFill>
        </w:rPr>
        <w:t xml:space="preserve">  </w:t>
      </w:r>
      <w:r>
        <w:rPr>
          <w:rFonts w:ascii="Times New Roman" w:hAnsi="Times New Roman" w:eastAsia="黑体"/>
          <w:color w:val="000000" w:themeColor="text1"/>
          <w:kern w:val="0"/>
          <w:sz w:val="36"/>
          <w:szCs w:val="36"/>
          <w:lang w:bidi="ar"/>
          <w14:textFill>
            <w14:solidFill>
              <w14:schemeClr w14:val="tx1"/>
            </w14:solidFill>
          </w14:textFill>
        </w:rPr>
        <w:t>保障措施</w:t>
      </w:r>
      <w:bookmarkEnd w:id="299"/>
      <w:bookmarkEnd w:id="300"/>
      <w:bookmarkEnd w:id="301"/>
      <w:bookmarkEnd w:id="302"/>
      <w:bookmarkEnd w:id="303"/>
    </w:p>
    <w:p>
      <w:pPr>
        <w:keepNext/>
        <w:keepLines/>
        <w:adjustRightInd w:val="0"/>
        <w:snapToGrid w:val="0"/>
        <w:spacing w:line="360" w:lineRule="auto"/>
        <w:ind w:firstLine="640" w:firstLineChars="200"/>
        <w:outlineLvl w:val="1"/>
        <w:rPr>
          <w:rFonts w:ascii="Times New Roman" w:hAnsi="Times New Roman" w:eastAsia="黑体"/>
          <w:bCs/>
          <w:color w:val="000000" w:themeColor="text1"/>
          <w:sz w:val="32"/>
          <w:szCs w:val="26"/>
          <w14:textFill>
            <w14:solidFill>
              <w14:schemeClr w14:val="tx1"/>
            </w14:solidFill>
          </w14:textFill>
        </w:rPr>
      </w:pPr>
      <w:bookmarkStart w:id="304" w:name="_Toc16990"/>
      <w:bookmarkStart w:id="305" w:name="_Toc18109"/>
      <w:bookmarkStart w:id="306" w:name="_Toc13019"/>
      <w:bookmarkStart w:id="307" w:name="_Toc16028"/>
      <w:bookmarkStart w:id="308" w:name="_Toc16305"/>
      <w:bookmarkStart w:id="309" w:name="_Toc20532"/>
      <w:bookmarkStart w:id="310" w:name="_Toc6801"/>
      <w:bookmarkStart w:id="311" w:name="_Toc16174"/>
      <w:bookmarkStart w:id="312" w:name="_Toc23756"/>
      <w:bookmarkStart w:id="313" w:name="_Toc18806"/>
      <w:bookmarkStart w:id="314" w:name="_Toc4833"/>
      <w:bookmarkStart w:id="315" w:name="_Toc22323"/>
      <w:bookmarkStart w:id="316" w:name="_Toc21993337"/>
      <w:bookmarkStart w:id="317" w:name="_Toc89203819"/>
      <w:bookmarkStart w:id="318" w:name="_Toc6169"/>
      <w:bookmarkStart w:id="319" w:name="_Toc13837"/>
      <w:r>
        <w:rPr>
          <w:rFonts w:ascii="Times New Roman" w:hAnsi="Times New Roman" w:eastAsia="黑体"/>
          <w:bCs/>
          <w:color w:val="000000" w:themeColor="text1"/>
          <w:sz w:val="32"/>
          <w:szCs w:val="26"/>
          <w14:textFill>
            <w14:solidFill>
              <w14:schemeClr w14:val="tx1"/>
            </w14:solidFill>
          </w14:textFill>
        </w:rPr>
        <w:t>一、加强组织领导，明确部门分工</w:t>
      </w:r>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p>
    <w:p>
      <w:pPr>
        <w:adjustRightInd w:val="0"/>
        <w:snapToGrid w:val="0"/>
        <w:spacing w:line="360" w:lineRule="auto"/>
        <w:ind w:firstLine="640" w:firstLineChars="200"/>
        <w:rPr>
          <w:rFonts w:ascii="Times New Roman" w:hAnsi="Times New Roman" w:eastAsia="仿宋"/>
          <w:color w:val="000000" w:themeColor="text1"/>
          <w:kern w:val="0"/>
          <w:sz w:val="32"/>
          <w:szCs w:val="32"/>
          <w14:textFill>
            <w14:solidFill>
              <w14:schemeClr w14:val="tx1"/>
            </w14:solidFill>
          </w14:textFill>
        </w:rPr>
      </w:pPr>
      <w:r>
        <w:rPr>
          <w:rFonts w:ascii="Times New Roman" w:hAnsi="Times New Roman" w:eastAsia="仿宋"/>
          <w:color w:val="000000" w:themeColor="text1"/>
          <w:kern w:val="0"/>
          <w:sz w:val="32"/>
          <w:szCs w:val="32"/>
          <w14:textFill>
            <w14:solidFill>
              <w14:schemeClr w14:val="tx1"/>
            </w14:solidFill>
          </w14:textFill>
        </w:rPr>
        <w:t>一是积极贯彻《条例》要求，加强组织领导，明确部门分工（详见专栏</w:t>
      </w:r>
      <w:r>
        <w:rPr>
          <w:rFonts w:hint="eastAsia" w:ascii="Times New Roman" w:hAnsi="Times New Roman" w:eastAsia="仿宋"/>
          <w:color w:val="000000" w:themeColor="text1"/>
          <w:kern w:val="0"/>
          <w:sz w:val="32"/>
          <w:szCs w:val="32"/>
          <w14:textFill>
            <w14:solidFill>
              <w14:schemeClr w14:val="tx1"/>
            </w14:solidFill>
          </w14:textFill>
        </w:rPr>
        <w:t>4</w:t>
      </w:r>
      <w:r>
        <w:rPr>
          <w:rFonts w:ascii="Times New Roman" w:hAnsi="Times New Roman" w:eastAsia="仿宋"/>
          <w:color w:val="000000" w:themeColor="text1"/>
          <w:kern w:val="0"/>
          <w:sz w:val="32"/>
          <w:szCs w:val="32"/>
          <w14:textFill>
            <w14:solidFill>
              <w14:schemeClr w14:val="tx1"/>
            </w14:solidFill>
          </w14:textFill>
        </w:rPr>
        <w:t>），加强部门联动，形成发展合力，推进禁止现场搅拌混凝土、禁止现场搅拌砂浆，规范临时现场搅拌混凝土拌和站的管理。</w:t>
      </w:r>
    </w:p>
    <w:p>
      <w:pPr>
        <w:adjustRightInd w:val="0"/>
        <w:snapToGrid w:val="0"/>
        <w:spacing w:line="360" w:lineRule="auto"/>
        <w:ind w:firstLine="640" w:firstLineChars="200"/>
        <w:rPr>
          <w:rFonts w:ascii="Times New Roman" w:hAnsi="Times New Roman" w:eastAsia="仿宋"/>
          <w:color w:val="000000" w:themeColor="text1"/>
          <w:kern w:val="0"/>
          <w:sz w:val="32"/>
          <w:szCs w:val="32"/>
          <w14:textFill>
            <w14:solidFill>
              <w14:schemeClr w14:val="tx1"/>
            </w14:solidFill>
          </w14:textFill>
        </w:rPr>
      </w:pPr>
      <w:r>
        <w:rPr>
          <w:rFonts w:ascii="Times New Roman" w:hAnsi="Times New Roman" w:eastAsia="仿宋"/>
          <w:color w:val="000000" w:themeColor="text1"/>
          <w:kern w:val="0"/>
          <w:sz w:val="32"/>
          <w:szCs w:val="32"/>
          <w14:textFill>
            <w14:solidFill>
              <w14:schemeClr w14:val="tx1"/>
            </w14:solidFill>
          </w14:textFill>
        </w:rPr>
        <w:t>二是加强部门协同，借助信息化管理手段及诚信体系平台建设，充分发挥各有关部门的职能优势，加强协调配合及监督执法力度，全面规范预拌混凝土和预拌砂浆市场秩序，全面禁用无专业承包资质搅拌站生产的预拌混凝土，确保政策到位，质量和计量监督所需费用到位，质量管理到位，监督检查、依法行政到位，保证产品质量有效控制。</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adjustRightInd w:val="0"/>
              <w:snapToGrid w:val="0"/>
              <w:ind w:firstLine="562" w:firstLineChars="200"/>
              <w:jc w:val="center"/>
              <w:rPr>
                <w:rFonts w:ascii="Times New Roman" w:hAnsi="Times New Roman" w:eastAsia="仿宋"/>
                <w:b/>
                <w:color w:val="000000" w:themeColor="text1"/>
                <w:sz w:val="24"/>
                <w:szCs w:val="24"/>
                <w14:textFill>
                  <w14:solidFill>
                    <w14:schemeClr w14:val="tx1"/>
                  </w14:solidFill>
                </w14:textFill>
              </w:rPr>
            </w:pPr>
            <w:r>
              <w:rPr>
                <w:rFonts w:ascii="Times New Roman" w:hAnsi="Times New Roman" w:eastAsia="仿宋"/>
                <w:b/>
                <w:color w:val="000000" w:themeColor="text1"/>
                <w:sz w:val="28"/>
                <w:szCs w:val="24"/>
                <w14:textFill>
                  <w14:solidFill>
                    <w14:schemeClr w14:val="tx1"/>
                  </w14:solidFill>
                </w14:textFill>
              </w:rPr>
              <w:t>专栏</w:t>
            </w:r>
            <w:r>
              <w:rPr>
                <w:rFonts w:hint="eastAsia" w:ascii="Times New Roman" w:hAnsi="Times New Roman" w:eastAsia="仿宋"/>
                <w:b/>
                <w:color w:val="000000" w:themeColor="text1"/>
                <w:sz w:val="28"/>
                <w:szCs w:val="24"/>
                <w14:textFill>
                  <w14:solidFill>
                    <w14:schemeClr w14:val="tx1"/>
                  </w14:solidFill>
                </w14:textFill>
              </w:rPr>
              <w:t>四 明确划分</w:t>
            </w:r>
            <w:r>
              <w:rPr>
                <w:rFonts w:ascii="Times New Roman" w:hAnsi="Times New Roman" w:eastAsia="仿宋"/>
                <w:b/>
                <w:color w:val="000000" w:themeColor="text1"/>
                <w:sz w:val="28"/>
                <w:szCs w:val="24"/>
                <w14:textFill>
                  <w14:solidFill>
                    <w14:schemeClr w14:val="tx1"/>
                  </w14:solidFill>
                </w14:textFill>
              </w:rPr>
              <w:t>各部门职责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pStyle w:val="2"/>
              <w:kinsoku w:val="0"/>
              <w:overflowPunct w:val="0"/>
              <w:autoSpaceDE w:val="0"/>
              <w:autoSpaceDN w:val="0"/>
              <w:adjustRightInd w:val="0"/>
              <w:snapToGrid w:val="0"/>
              <w:spacing w:after="0" w:line="360" w:lineRule="auto"/>
              <w:ind w:left="0"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市、县（区）工业主管部门负责本行政区域预拌混凝土和预拌砂浆发展和应用的监督管理；负责牵头组织发展改革、绩效考评、财政、自然资源、生态环境、住房城乡建设、市场监管、城市管理、交通运输、水利、应急、公安等有关部门，形成和完善部门会商工作机制，加强对预拌混凝土和预拌砂浆发展和应用工作的指导；负责落实国家、自治区和本市发展预拌混凝土和预拌砂浆的各项政策要求；负责加强预拌混凝土和预拌砂浆有关标准规范和管理制度的监督落实。</w:t>
            </w:r>
          </w:p>
          <w:p>
            <w:pPr>
              <w:pStyle w:val="2"/>
              <w:kinsoku w:val="0"/>
              <w:overflowPunct w:val="0"/>
              <w:autoSpaceDE w:val="0"/>
              <w:autoSpaceDN w:val="0"/>
              <w:adjustRightInd w:val="0"/>
              <w:snapToGrid w:val="0"/>
              <w:spacing w:after="0" w:line="360" w:lineRule="auto"/>
              <w:ind w:left="0"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县（区）工业主管部门负责会同有关部门，按照国家、自治区和市有关规定，结合本市产业发展规划和实际情况，划定禁止现场搅拌混凝土及砂浆的具体区域和起始时间，报本级人民政府批准并向社会公布实施。在禁止现场搅拌区域内的建设工程，严禁使用袋装水泥、现场搅拌混凝土、现场搅拌砂浆。</w:t>
            </w:r>
          </w:p>
          <w:p>
            <w:pPr>
              <w:pStyle w:val="2"/>
              <w:kinsoku w:val="0"/>
              <w:overflowPunct w:val="0"/>
              <w:autoSpaceDE w:val="0"/>
              <w:autoSpaceDN w:val="0"/>
              <w:adjustRightInd w:val="0"/>
              <w:snapToGrid w:val="0"/>
              <w:spacing w:after="0" w:line="360" w:lineRule="auto"/>
              <w:ind w:left="0"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工业主管部门负责会同有关部门，按照国家、自治区和市有关规定，依法处理未取得专业承包资质的预拌混凝土企业和无备案登记预拌砂浆企业，依法严肃查处预拌混凝土使用单位使用无专业承包资质预拌混凝土企业生产、销售的预拌混凝土。</w:t>
            </w:r>
          </w:p>
          <w:p>
            <w:pPr>
              <w:pStyle w:val="2"/>
              <w:kinsoku w:val="0"/>
              <w:overflowPunct w:val="0"/>
              <w:autoSpaceDE w:val="0"/>
              <w:autoSpaceDN w:val="0"/>
              <w:adjustRightInd w:val="0"/>
              <w:snapToGrid w:val="0"/>
              <w:spacing w:after="0" w:line="360" w:lineRule="auto"/>
              <w:ind w:left="0"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3.工业和信息化部门负责编制和落实产业发展规划；</w:t>
            </w:r>
            <w:r>
              <w:rPr>
                <w:rFonts w:hint="eastAsia" w:ascii="仿宋" w:hAnsi="仿宋" w:eastAsia="仿宋" w:cs="仿宋"/>
                <w:color w:val="000000" w:themeColor="text1"/>
                <w:sz w:val="24"/>
                <w:lang w:val="en-US" w:eastAsia="zh-CN"/>
                <w14:textFill>
                  <w14:solidFill>
                    <w14:schemeClr w14:val="tx1"/>
                  </w14:solidFill>
                </w14:textFill>
              </w:rPr>
              <w:t>负</w:t>
            </w:r>
            <w:r>
              <w:rPr>
                <w:rFonts w:hint="eastAsia" w:ascii="仿宋" w:hAnsi="仿宋" w:eastAsia="仿宋" w:cs="仿宋"/>
                <w:color w:val="000000" w:themeColor="text1"/>
                <w:sz w:val="24"/>
                <w14:textFill>
                  <w14:solidFill>
                    <w14:schemeClr w14:val="tx1"/>
                  </w14:solidFill>
                </w14:textFill>
              </w:rPr>
              <w:t>责建设预拌混凝土和预拌砂浆生产企业的诚信体系建设；负责预拌混凝土及预拌砂浆行业监管信息平台建设；负责开展高性能混凝土推广以及预拌混凝土和预拌砂浆绿色生产评价和标识管理等工作，推动预拌混凝土和预拌砂浆产业技术创新、优化升级、提质增效、健康发展；负责落实碳达峰碳中和有关决策部署，全面推广绿色低碳混凝土（砂浆）的应用，推动行业向智能化、数字化转型。协调相关部门，采取综合措施，奖优治劣，推进供给侧结构性改革，促进企业提质升档，做强做大。</w:t>
            </w:r>
          </w:p>
          <w:p>
            <w:pPr>
              <w:pStyle w:val="2"/>
              <w:kinsoku w:val="0"/>
              <w:overflowPunct w:val="0"/>
              <w:autoSpaceDE w:val="0"/>
              <w:autoSpaceDN w:val="0"/>
              <w:adjustRightInd w:val="0"/>
              <w:snapToGrid w:val="0"/>
              <w:spacing w:after="0" w:line="360" w:lineRule="auto"/>
              <w:ind w:left="0"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4.市场监管部门</w:t>
            </w:r>
            <w:r>
              <w:rPr>
                <w:rFonts w:hint="eastAsia" w:ascii="仿宋" w:hAnsi="仿宋" w:eastAsia="仿宋" w:cs="仿宋"/>
                <w:color w:val="FF0000"/>
                <w:sz w:val="24"/>
              </w:rPr>
              <w:t>应当加强</w:t>
            </w:r>
            <w:r>
              <w:rPr>
                <w:rFonts w:hint="eastAsia" w:ascii="仿宋" w:hAnsi="仿宋" w:eastAsia="仿宋" w:cs="仿宋"/>
                <w:color w:val="000000" w:themeColor="text1"/>
                <w:sz w:val="24"/>
                <w14:textFill>
                  <w14:solidFill>
                    <w14:schemeClr w14:val="tx1"/>
                  </w14:solidFill>
                </w14:textFill>
              </w:rPr>
              <w:t>预拌混凝土和预拌砂浆生产企业出厂产品质量和计量的监督，质量和计量监督所需费用列入本级财政预算。市场监管部门应加强对企业销售价格违法行为的监管。</w:t>
            </w:r>
          </w:p>
          <w:p>
            <w:pPr>
              <w:pStyle w:val="2"/>
              <w:kinsoku w:val="0"/>
              <w:overflowPunct w:val="0"/>
              <w:autoSpaceDE w:val="0"/>
              <w:autoSpaceDN w:val="0"/>
              <w:adjustRightInd w:val="0"/>
              <w:snapToGrid w:val="0"/>
              <w:spacing w:after="0" w:line="360" w:lineRule="auto"/>
              <w:ind w:left="0"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5.生态环境部门负责预拌混凝土和预拌砂浆生产企业环境保护和污染防治工作的监督管理,结合产业发展规划要求审批项目环境影响评价报告。</w:t>
            </w:r>
          </w:p>
          <w:p>
            <w:pPr>
              <w:pStyle w:val="2"/>
              <w:kinsoku w:val="0"/>
              <w:overflowPunct w:val="0"/>
              <w:autoSpaceDE w:val="0"/>
              <w:autoSpaceDN w:val="0"/>
              <w:adjustRightInd w:val="0"/>
              <w:snapToGrid w:val="0"/>
              <w:spacing w:after="0" w:line="360" w:lineRule="auto"/>
              <w:ind w:left="0"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6.自然资源部门负责审核预拌混凝土和预拌砂浆生产企业项目建设用地是否符合国土空间规划要求，结合产业发展规划做好项目建设用地审批。</w:t>
            </w:r>
          </w:p>
          <w:p>
            <w:pPr>
              <w:pStyle w:val="2"/>
              <w:kinsoku w:val="0"/>
              <w:overflowPunct w:val="0"/>
              <w:autoSpaceDE w:val="0"/>
              <w:autoSpaceDN w:val="0"/>
              <w:adjustRightInd w:val="0"/>
              <w:snapToGrid w:val="0"/>
              <w:spacing w:after="0" w:line="360" w:lineRule="auto"/>
              <w:ind w:left="0"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7.住房城乡建设部门负责核发预拌混凝土专业承包资质；应当及时采集和发布预拌混凝土和预拌砂浆的价格信息。</w:t>
            </w:r>
          </w:p>
          <w:p>
            <w:pPr>
              <w:pStyle w:val="2"/>
              <w:kinsoku w:val="0"/>
              <w:overflowPunct w:val="0"/>
              <w:autoSpaceDE w:val="0"/>
              <w:autoSpaceDN w:val="0"/>
              <w:adjustRightInd w:val="0"/>
              <w:snapToGrid w:val="0"/>
              <w:spacing w:after="0" w:line="360" w:lineRule="auto"/>
              <w:ind w:left="0"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市、县（区）住房城乡建设部门负责预拌混凝土专业承包资质的动态核查。</w:t>
            </w:r>
          </w:p>
          <w:p>
            <w:pPr>
              <w:pStyle w:val="2"/>
              <w:kinsoku w:val="0"/>
              <w:overflowPunct w:val="0"/>
              <w:autoSpaceDE w:val="0"/>
              <w:autoSpaceDN w:val="0"/>
              <w:adjustRightInd w:val="0"/>
              <w:snapToGrid w:val="0"/>
              <w:spacing w:after="0" w:line="360" w:lineRule="auto"/>
              <w:ind w:left="0"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8.应急管理部门负责预拌混凝土和预拌砂浆生产企业安全生产工作实施综合监督管理。</w:t>
            </w:r>
          </w:p>
          <w:p>
            <w:pPr>
              <w:pStyle w:val="2"/>
              <w:kinsoku w:val="0"/>
              <w:overflowPunct w:val="0"/>
              <w:autoSpaceDE w:val="0"/>
              <w:autoSpaceDN w:val="0"/>
              <w:adjustRightInd w:val="0"/>
              <w:snapToGrid w:val="0"/>
              <w:spacing w:after="0" w:line="360" w:lineRule="auto"/>
              <w:ind w:left="0"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9.住房城乡建设、交通运输、水利等部门负责本行业预拌混凝土和预拌砂浆使用单位及使用活动的监督检查。</w:t>
            </w:r>
          </w:p>
          <w:p>
            <w:pPr>
              <w:pStyle w:val="2"/>
              <w:kinsoku w:val="0"/>
              <w:overflowPunct w:val="0"/>
              <w:autoSpaceDE w:val="0"/>
              <w:autoSpaceDN w:val="0"/>
              <w:adjustRightInd w:val="0"/>
              <w:snapToGrid w:val="0"/>
              <w:spacing w:after="0" w:line="360" w:lineRule="auto"/>
              <w:ind w:left="0"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10.预拌混凝土和预拌砂浆相关行业协会应根据法律、法规和规章的规定，独立充分开展工作，加强行业自律和服务体系建设，有效发挥行业的桥梁纽带作用和协调机制功能。</w:t>
            </w:r>
          </w:p>
        </w:tc>
      </w:tr>
    </w:tbl>
    <w:p>
      <w:pPr>
        <w:rPr>
          <w:rFonts w:ascii="Times New Roman" w:hAnsi="Times New Roman"/>
          <w:color w:val="000000" w:themeColor="text1"/>
          <w14:textFill>
            <w14:solidFill>
              <w14:schemeClr w14:val="tx1"/>
            </w14:solidFill>
          </w14:textFill>
        </w:rPr>
      </w:pPr>
      <w:bookmarkStart w:id="320" w:name="_Toc21496"/>
      <w:bookmarkStart w:id="321" w:name="_Toc30145"/>
      <w:bookmarkStart w:id="322" w:name="_Toc22064"/>
      <w:bookmarkStart w:id="323" w:name="_Toc5913"/>
      <w:bookmarkStart w:id="324" w:name="_Toc27605"/>
      <w:bookmarkStart w:id="325" w:name="_Toc89203820"/>
      <w:bookmarkStart w:id="326" w:name="_Toc17744"/>
      <w:bookmarkStart w:id="327" w:name="_Toc9103"/>
      <w:bookmarkStart w:id="328" w:name="_Toc16357"/>
      <w:bookmarkStart w:id="329" w:name="_Toc15893"/>
      <w:bookmarkStart w:id="330" w:name="_Toc16803"/>
    </w:p>
    <w:p>
      <w:pPr>
        <w:keepNext/>
        <w:keepLines/>
        <w:adjustRightInd w:val="0"/>
        <w:snapToGrid w:val="0"/>
        <w:spacing w:line="360" w:lineRule="auto"/>
        <w:ind w:firstLine="640" w:firstLineChars="200"/>
        <w:outlineLvl w:val="1"/>
        <w:rPr>
          <w:rFonts w:ascii="Times New Roman" w:hAnsi="Times New Roman" w:eastAsia="黑体"/>
          <w:bCs/>
          <w:color w:val="000000" w:themeColor="text1"/>
          <w:sz w:val="32"/>
          <w:szCs w:val="26"/>
          <w14:textFill>
            <w14:solidFill>
              <w14:schemeClr w14:val="tx1"/>
            </w14:solidFill>
          </w14:textFill>
        </w:rPr>
      </w:pPr>
      <w:bookmarkStart w:id="331" w:name="_Toc30680"/>
      <w:bookmarkStart w:id="332" w:name="_Toc1236"/>
      <w:bookmarkStart w:id="333" w:name="_Toc27209"/>
      <w:bookmarkStart w:id="334" w:name="_Toc29476"/>
      <w:r>
        <w:rPr>
          <w:rFonts w:ascii="Times New Roman" w:hAnsi="Times New Roman" w:eastAsia="黑体"/>
          <w:bCs/>
          <w:color w:val="000000" w:themeColor="text1"/>
          <w:sz w:val="32"/>
          <w:szCs w:val="26"/>
          <w14:textFill>
            <w14:solidFill>
              <w14:schemeClr w14:val="tx1"/>
            </w14:solidFill>
          </w14:textFill>
        </w:rPr>
        <w:t>二、完善政策措施，强化监督管理</w:t>
      </w:r>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p>
    <w:p>
      <w:pPr>
        <w:adjustRightInd w:val="0"/>
        <w:snapToGrid w:val="0"/>
        <w:spacing w:line="360" w:lineRule="auto"/>
        <w:ind w:firstLine="640" w:firstLineChars="200"/>
        <w:rPr>
          <w:rFonts w:ascii="Times New Roman" w:hAnsi="Times New Roman" w:eastAsia="仿宋"/>
          <w:color w:val="000000" w:themeColor="text1"/>
          <w:kern w:val="0"/>
          <w:sz w:val="32"/>
          <w:szCs w:val="32"/>
          <w14:textFill>
            <w14:solidFill>
              <w14:schemeClr w14:val="tx1"/>
            </w14:solidFill>
          </w14:textFill>
        </w:rPr>
      </w:pPr>
      <w:r>
        <w:rPr>
          <w:rFonts w:ascii="Times New Roman" w:hAnsi="Times New Roman" w:eastAsia="仿宋"/>
          <w:color w:val="000000" w:themeColor="text1"/>
          <w:kern w:val="0"/>
          <w:sz w:val="32"/>
          <w:szCs w:val="32"/>
          <w14:textFill>
            <w14:solidFill>
              <w14:schemeClr w14:val="tx1"/>
            </w14:solidFill>
          </w14:textFill>
        </w:rPr>
        <w:t>进一步明确散装水泥行业的主管部门及职能，理顺与相关部门的工作关系，制定落实《条例》的地方配套政策；制定出台禁止现场搅拌混凝土、砂浆的具体区域和起始时间，报本级人民政府批准并向社会公布实施；制定出台预拌混凝土和预拌砂浆管理办法，落实准入门槛及淘汰落后产能的具体措施；</w:t>
      </w:r>
      <w:r>
        <w:rPr>
          <w:rFonts w:hint="eastAsia" w:ascii="Times New Roman" w:hAnsi="Times New Roman" w:eastAsia="仿宋"/>
          <w:color w:val="000000" w:themeColor="text1"/>
          <w:kern w:val="0"/>
          <w:sz w:val="32"/>
          <w:szCs w:val="32"/>
          <w14:textFill>
            <w14:solidFill>
              <w14:schemeClr w14:val="tx1"/>
            </w14:solidFill>
          </w14:textFill>
        </w:rPr>
        <w:t>按照自治区相关要求，加快将水泥制品产业纳入到散装水泥行业管理体系，</w:t>
      </w:r>
      <w:r>
        <w:rPr>
          <w:rFonts w:ascii="Times New Roman" w:hAnsi="Times New Roman" w:eastAsia="仿宋"/>
          <w:color w:val="000000" w:themeColor="text1"/>
          <w:kern w:val="0"/>
          <w:sz w:val="32"/>
          <w:szCs w:val="32"/>
          <w14:textFill>
            <w14:solidFill>
              <w14:schemeClr w14:val="tx1"/>
            </w14:solidFill>
          </w14:textFill>
        </w:rPr>
        <w:t>制定出台水泥制品产业相关管理配套政策，加强对产业发展的引导和约束，推动散装水泥下游预制构件及制品产业转型升级；制定相关政策，倡导清洁生产，及时开展针对生产企业的绿色评价及清洁化生产改造工作</w:t>
      </w:r>
      <w:bookmarkStart w:id="335" w:name="_Toc2343"/>
      <w:r>
        <w:rPr>
          <w:rFonts w:ascii="Times New Roman" w:hAnsi="Times New Roman" w:eastAsia="仿宋"/>
          <w:color w:val="000000" w:themeColor="text1"/>
          <w:kern w:val="0"/>
          <w:sz w:val="32"/>
          <w:szCs w:val="32"/>
          <w14:textFill>
            <w14:solidFill>
              <w14:schemeClr w14:val="tx1"/>
            </w14:solidFill>
          </w14:textFill>
        </w:rPr>
        <w:t>；出台企业信用评价管理办法，推进行业诚信体系建设；制定相关鼓励政策，鼓励现有生产企业成立技术研发中心，提高产业技术创新水平。</w:t>
      </w:r>
      <w:bookmarkEnd w:id="335"/>
      <w:bookmarkStart w:id="336" w:name="_Toc24248"/>
      <w:bookmarkStart w:id="337" w:name="_Toc24116"/>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pStyle w:val="2"/>
              <w:kinsoku w:val="0"/>
              <w:overflowPunct w:val="0"/>
              <w:autoSpaceDE w:val="0"/>
              <w:autoSpaceDN w:val="0"/>
              <w:snapToGrid w:val="0"/>
              <w:spacing w:after="0" w:line="240" w:lineRule="auto"/>
              <w:jc w:val="center"/>
              <w:rPr>
                <w:rFonts w:ascii="仿宋" w:hAnsi="仿宋" w:eastAsia="仿宋" w:cs="仿宋"/>
                <w:b/>
                <w:color w:val="000000" w:themeColor="text1"/>
                <w:sz w:val="28"/>
                <w14:textFill>
                  <w14:solidFill>
                    <w14:schemeClr w14:val="tx1"/>
                  </w14:solidFill>
                </w14:textFill>
              </w:rPr>
            </w:pPr>
            <w:r>
              <w:rPr>
                <w:rFonts w:hint="eastAsia" w:ascii="仿宋" w:hAnsi="仿宋" w:eastAsia="仿宋" w:cs="仿宋"/>
                <w:b/>
                <w:color w:val="000000" w:themeColor="text1"/>
                <w:sz w:val="28"/>
                <w14:textFill>
                  <w14:solidFill>
                    <w14:schemeClr w14:val="tx1"/>
                  </w14:solidFill>
                </w14:textFill>
              </w:rPr>
              <w:t>专栏五 加强规划指导和执法监管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pStyle w:val="2"/>
              <w:kinsoku w:val="0"/>
              <w:overflowPunct w:val="0"/>
              <w:autoSpaceDE w:val="0"/>
              <w:autoSpaceDN w:val="0"/>
              <w:adjustRightInd w:val="0"/>
              <w:snapToGrid w:val="0"/>
              <w:spacing w:after="0" w:line="360" w:lineRule="auto"/>
              <w:ind w:left="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1.强化规划管理，优化企业设立管理流程</w:t>
            </w:r>
          </w:p>
          <w:p>
            <w:pPr>
              <w:pStyle w:val="2"/>
              <w:kinsoku w:val="0"/>
              <w:overflowPunct w:val="0"/>
              <w:autoSpaceDE w:val="0"/>
              <w:autoSpaceDN w:val="0"/>
              <w:adjustRightInd w:val="0"/>
              <w:snapToGrid w:val="0"/>
              <w:spacing w:after="0" w:line="360" w:lineRule="auto"/>
              <w:ind w:left="0"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（1）落实《条例》相关规定，编制并公布包含生产企业布局的行业规划，产能规划布局应遵循布局原则；探索建立预拌混凝土产能利用率风险预警制度。</w:t>
            </w:r>
          </w:p>
          <w:p>
            <w:pPr>
              <w:pStyle w:val="2"/>
              <w:kinsoku w:val="0"/>
              <w:overflowPunct w:val="0"/>
              <w:autoSpaceDE w:val="0"/>
              <w:autoSpaceDN w:val="0"/>
              <w:adjustRightInd w:val="0"/>
              <w:snapToGrid w:val="0"/>
              <w:spacing w:after="0" w:line="360" w:lineRule="auto"/>
              <w:ind w:left="0"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2）严格落实《条例》相关要求，新建（含扩建、迁建）项目建设应符合规划布局要求，并取得行业主管部门出具的“符合产业发展规划证明文件”；划分区域产能利用率未达到目标值时，原则上暂不新建或者扩建预拌混凝土和预拌砂浆项目，确需建设的，应召开联席会议讨论并通过。</w:t>
            </w:r>
          </w:p>
          <w:p>
            <w:pPr>
              <w:pStyle w:val="2"/>
              <w:kinsoku w:val="0"/>
              <w:overflowPunct w:val="0"/>
              <w:autoSpaceDE w:val="0"/>
              <w:autoSpaceDN w:val="0"/>
              <w:adjustRightInd w:val="0"/>
              <w:snapToGrid w:val="0"/>
              <w:spacing w:after="0" w:line="360" w:lineRule="auto"/>
              <w:ind w:left="0"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3）强化要素保障，编制出台管理办法，规范企业设立管理流程，推行规划布局和企业设立的会商制度。在城市规划区，探索通过逐年释放产能规划指标，并将规划布点指标纳入土地公开招拍挂等方式，保障市场有序竞争、加强项目用地保障；探索优化行业监管服务，推行并联审批和联合验收，在联合验收中实施绿色生产核验。</w:t>
            </w:r>
          </w:p>
          <w:p>
            <w:pPr>
              <w:pStyle w:val="2"/>
              <w:kinsoku w:val="0"/>
              <w:overflowPunct w:val="0"/>
              <w:autoSpaceDE w:val="0"/>
              <w:autoSpaceDN w:val="0"/>
              <w:adjustRightInd w:val="0"/>
              <w:snapToGrid w:val="0"/>
              <w:spacing w:after="0" w:line="360" w:lineRule="auto"/>
              <w:ind w:left="0"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（4）开展规划中期评价，推广优秀做法案例。针对规划执行，应适时开展中期评价，以解决问题、达成目标和效果为导向科学评价规划执行情况。</w:t>
            </w:r>
          </w:p>
          <w:p>
            <w:pPr>
              <w:pStyle w:val="2"/>
              <w:kinsoku w:val="0"/>
              <w:overflowPunct w:val="0"/>
              <w:autoSpaceDE w:val="0"/>
              <w:autoSpaceDN w:val="0"/>
              <w:adjustRightInd w:val="0"/>
              <w:snapToGrid w:val="0"/>
              <w:spacing w:after="0" w:line="360" w:lineRule="auto"/>
              <w:ind w:left="0"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（5）加快制定预拌混凝土产能置换管理办法，实施区域内产能等量或减量置换，加快淘汰落后产能，优化产业布局，鼓励企业兼并、联合重组，发展大型企业集团，提高产业集中度。</w:t>
            </w:r>
          </w:p>
          <w:p>
            <w:pPr>
              <w:pStyle w:val="2"/>
              <w:kinsoku w:val="0"/>
              <w:overflowPunct w:val="0"/>
              <w:autoSpaceDE w:val="0"/>
              <w:autoSpaceDN w:val="0"/>
              <w:adjustRightInd w:val="0"/>
              <w:snapToGrid w:val="0"/>
              <w:spacing w:after="0" w:line="360" w:lineRule="auto"/>
              <w:ind w:left="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2.强化现场搅拌管理，加大打击非法生产力度</w:t>
            </w:r>
          </w:p>
          <w:p>
            <w:pPr>
              <w:pStyle w:val="2"/>
              <w:kinsoku w:val="0"/>
              <w:overflowPunct w:val="0"/>
              <w:autoSpaceDE w:val="0"/>
              <w:autoSpaceDN w:val="0"/>
              <w:adjustRightInd w:val="0"/>
              <w:snapToGrid w:val="0"/>
              <w:spacing w:after="0" w:line="360" w:lineRule="auto"/>
              <w:ind w:left="0"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1）推行现场搅拌备案管理，对符合《条例》要求，确需现场搅拌混凝土或砂浆的，建设单位应向项目所属区域的县级及以上主管部门（住建、交通、能源、水利、港口、航道、海事等）和当地散装水泥主管部门进行现场搅拌备案。加强现场搅拌监管，严禁现场搅拌（临时搅拌站、拌合点）的混凝土或砂浆对外销售；项目完工后，建设单位须对建立的临时搅拌站（拌合点）进行拆除。</w:t>
            </w:r>
          </w:p>
          <w:p>
            <w:pPr>
              <w:pStyle w:val="2"/>
              <w:kinsoku w:val="0"/>
              <w:overflowPunct w:val="0"/>
              <w:autoSpaceDE w:val="0"/>
              <w:autoSpaceDN w:val="0"/>
              <w:adjustRightInd w:val="0"/>
              <w:snapToGrid w:val="0"/>
              <w:spacing w:after="0" w:line="360" w:lineRule="auto"/>
              <w:ind w:left="0"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（2）加大打击混凝土非法生产力度。一是落实属地责任，由散装水泥主管部门牵头、联合相关部门，定期或不定期开展对辖区内预拌混凝土证照不全生产企业开展打击整治，遵循“</w:t>
            </w:r>
            <w:r>
              <w:fldChar w:fldCharType="begin"/>
            </w:r>
            <w:r>
              <w:instrText xml:space="preserve"> HYPERLINK "https://www.baidu.com/link?url=U83q_x1ZC_QaALfVShEyKTET-41cKnRDPHqS7gtvCZ7leJWiPilTTmNzCDxnf16XqBSWqAZEtcsCXnsmqaxlrlv0BrH9P3bqhEX-cUI9ThS&amp;wd=&amp;eqid=e385ea5e0011f6a60000000662f24ece" \t "https://www.baidu.com/_blank" </w:instrText>
            </w:r>
            <w:r>
              <w:fldChar w:fldCharType="separate"/>
            </w:r>
            <w:r>
              <w:rPr>
                <w:rFonts w:ascii="仿宋" w:hAnsi="仿宋" w:eastAsia="仿宋" w:cs="仿宋"/>
                <w:color w:val="000000" w:themeColor="text1"/>
                <w:sz w:val="24"/>
                <w14:textFill>
                  <w14:solidFill>
                    <w14:schemeClr w14:val="tx1"/>
                  </w14:solidFill>
                </w14:textFill>
              </w:rPr>
              <w:t>谁发证、谁监管，谁审批、谁负责”的原则，</w:t>
            </w:r>
            <w:r>
              <w:rPr>
                <w:rFonts w:ascii="仿宋" w:hAnsi="仿宋" w:eastAsia="仿宋" w:cs="仿宋"/>
                <w:color w:val="000000" w:themeColor="text1"/>
                <w:sz w:val="24"/>
                <w14:textFill>
                  <w14:solidFill>
                    <w14:schemeClr w14:val="tx1"/>
                  </w14:solidFill>
                </w14:textFill>
              </w:rPr>
              <w:fldChar w:fldCharType="end"/>
            </w:r>
            <w:r>
              <w:rPr>
                <w:rFonts w:ascii="仿宋" w:hAnsi="仿宋" w:eastAsia="仿宋" w:cs="仿宋"/>
                <w:color w:val="000000" w:themeColor="text1"/>
                <w:sz w:val="24"/>
                <w14:textFill>
                  <w14:solidFill>
                    <w14:schemeClr w14:val="tx1"/>
                  </w14:solidFill>
                </w14:textFill>
              </w:rPr>
              <w:t>依法依规进行查处。二是积极发挥行业协会的作用，同时畅通对非法生产的举报途径，使行业自律和群众举报成为保障市场有序竞争、有效遏制非法生产的主要手段。三是推行散装水泥行业企业名录管理制度，推进行业诚信体系建设，鼓励诚信行为、惩治失信行为，探索将设立“黑站”、为“黑站”提供便利等情形列入违法失信企业名单或失信被执行人名单管理，确保行业的可持续健康发展。四是建立产品追溯体系，运用数字化、智能化、物联网等手段，跟踪、记录产品生产、流通、使用全周期质量安全信息，筑牢质量安全底线，切实负起质量安全主体责任。</w:t>
            </w:r>
          </w:p>
        </w:tc>
      </w:tr>
      <w:bookmarkEnd w:id="336"/>
      <w:bookmarkEnd w:id="337"/>
    </w:tbl>
    <w:p>
      <w:pPr>
        <w:adjustRightInd w:val="0"/>
        <w:snapToGrid w:val="0"/>
        <w:spacing w:line="360" w:lineRule="auto"/>
        <w:ind w:firstLine="640" w:firstLineChars="200"/>
        <w:rPr>
          <w:rFonts w:ascii="Times New Roman" w:hAnsi="Times New Roman" w:eastAsia="仿宋"/>
          <w:color w:val="000000" w:themeColor="text1"/>
          <w:kern w:val="0"/>
          <w:sz w:val="32"/>
          <w:szCs w:val="32"/>
          <w14:textFill>
            <w14:solidFill>
              <w14:schemeClr w14:val="tx1"/>
            </w14:solidFill>
          </w14:textFill>
        </w:rPr>
      </w:pPr>
    </w:p>
    <w:p>
      <w:pPr>
        <w:keepNext/>
        <w:keepLines/>
        <w:adjustRightInd w:val="0"/>
        <w:snapToGrid w:val="0"/>
        <w:spacing w:line="360" w:lineRule="auto"/>
        <w:ind w:firstLine="640" w:firstLineChars="200"/>
        <w:outlineLvl w:val="1"/>
        <w:rPr>
          <w:rFonts w:ascii="Times New Roman" w:hAnsi="Times New Roman" w:eastAsia="黑体"/>
          <w:bCs/>
          <w:color w:val="000000" w:themeColor="text1"/>
          <w:sz w:val="32"/>
          <w:szCs w:val="26"/>
          <w14:textFill>
            <w14:solidFill>
              <w14:schemeClr w14:val="tx1"/>
            </w14:solidFill>
          </w14:textFill>
        </w:rPr>
      </w:pPr>
      <w:bookmarkStart w:id="338" w:name="_Toc89203822"/>
      <w:bookmarkStart w:id="339" w:name="_Toc13468"/>
      <w:bookmarkStart w:id="340" w:name="_Toc938"/>
      <w:bookmarkStart w:id="341" w:name="_Toc15474"/>
      <w:bookmarkStart w:id="342" w:name="_Toc18839"/>
      <w:bookmarkStart w:id="343" w:name="_Toc2798"/>
      <w:bookmarkStart w:id="344" w:name="_Toc6574"/>
      <w:bookmarkStart w:id="345" w:name="_Toc17715"/>
      <w:bookmarkStart w:id="346" w:name="_Toc23167"/>
      <w:bookmarkStart w:id="347" w:name="_Toc13671"/>
      <w:bookmarkStart w:id="348" w:name="_Toc18173"/>
      <w:bookmarkStart w:id="349" w:name="_Toc29488"/>
      <w:bookmarkStart w:id="350" w:name="_Toc4682"/>
      <w:bookmarkStart w:id="351" w:name="_Toc7306"/>
      <w:bookmarkStart w:id="352" w:name="_Toc24772"/>
      <w:r>
        <w:rPr>
          <w:rFonts w:hint="eastAsia" w:ascii="Times New Roman" w:hAnsi="Times New Roman" w:eastAsia="黑体"/>
          <w:bCs/>
          <w:color w:val="000000" w:themeColor="text1"/>
          <w:sz w:val="32"/>
          <w:szCs w:val="26"/>
          <w14:textFill>
            <w14:solidFill>
              <w14:schemeClr w14:val="tx1"/>
            </w14:solidFill>
          </w14:textFill>
        </w:rPr>
        <w:t>三</w:t>
      </w:r>
      <w:r>
        <w:rPr>
          <w:rFonts w:ascii="Times New Roman" w:hAnsi="Times New Roman" w:eastAsia="黑体"/>
          <w:bCs/>
          <w:color w:val="000000" w:themeColor="text1"/>
          <w:sz w:val="32"/>
          <w:szCs w:val="26"/>
          <w14:textFill>
            <w14:solidFill>
              <w14:schemeClr w14:val="tx1"/>
            </w14:solidFill>
          </w14:textFill>
        </w:rPr>
        <w:t>、加快人才培养，提高服务能力</w:t>
      </w:r>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p>
    <w:p>
      <w:pPr>
        <w:adjustRightInd w:val="0"/>
        <w:snapToGrid w:val="0"/>
        <w:spacing w:line="360" w:lineRule="auto"/>
        <w:ind w:firstLine="640" w:firstLineChars="200"/>
        <w:rPr>
          <w:rFonts w:ascii="Times New Roman" w:hAnsi="Times New Roman" w:eastAsia="仿宋"/>
          <w:color w:val="000000" w:themeColor="text1"/>
          <w:kern w:val="0"/>
          <w:sz w:val="32"/>
          <w:szCs w:val="32"/>
          <w14:textFill>
            <w14:solidFill>
              <w14:schemeClr w14:val="tx1"/>
            </w14:solidFill>
          </w14:textFill>
        </w:rPr>
      </w:pPr>
      <w:r>
        <w:rPr>
          <w:rFonts w:ascii="Times New Roman" w:hAnsi="Times New Roman" w:eastAsia="仿宋"/>
          <w:color w:val="000000" w:themeColor="text1"/>
          <w:kern w:val="0"/>
          <w:sz w:val="32"/>
          <w:szCs w:val="32"/>
          <w14:textFill>
            <w14:solidFill>
              <w14:schemeClr w14:val="tx1"/>
            </w14:solidFill>
          </w14:textFill>
        </w:rPr>
        <w:t>一是充分依托人才激励政策，吸收优秀专业人才加入行业，加大复合型、创新型人才培养力度。结合行业的发展需求，组织开展标准宣传贯彻、管理与质量控制能力提升、清洁生产、诚信体系建设、标准化试验室建设与管理、新产品开发等方面学习交流，全面提升行业技术人员的技术水平和管理能力，为技术创新夯实基础。</w:t>
      </w:r>
    </w:p>
    <w:p>
      <w:pPr>
        <w:adjustRightInd w:val="0"/>
        <w:snapToGrid w:val="0"/>
        <w:spacing w:line="360" w:lineRule="auto"/>
        <w:ind w:firstLine="640" w:firstLineChars="200"/>
        <w:rPr>
          <w:rFonts w:ascii="Times New Roman" w:hAnsi="Times New Roman" w:eastAsia="仿宋"/>
          <w:color w:val="000000" w:themeColor="text1"/>
          <w:kern w:val="0"/>
          <w:sz w:val="32"/>
          <w:szCs w:val="32"/>
          <w14:textFill>
            <w14:solidFill>
              <w14:schemeClr w14:val="tx1"/>
            </w14:solidFill>
          </w14:textFill>
        </w:rPr>
      </w:pPr>
      <w:r>
        <w:rPr>
          <w:rFonts w:ascii="Times New Roman" w:hAnsi="Times New Roman" w:eastAsia="仿宋"/>
          <w:color w:val="000000" w:themeColor="text1"/>
          <w:kern w:val="0"/>
          <w:sz w:val="32"/>
          <w:szCs w:val="32"/>
          <w14:textFill>
            <w14:solidFill>
              <w14:schemeClr w14:val="tx1"/>
            </w14:solidFill>
          </w14:textFill>
        </w:rPr>
        <w:t>二是加强对散装水泥发展和应用管理人员的培训，不断提高人员综合素质，以便更好地为行业发展服务。提高有关管理和技术人员素质，培养一批高素质的预拌砂浆、高性能混凝土的技术研究、应用和管理人才。</w:t>
      </w:r>
    </w:p>
    <w:p>
      <w:pPr>
        <w:keepNext/>
        <w:keepLines/>
        <w:adjustRightInd w:val="0"/>
        <w:snapToGrid w:val="0"/>
        <w:spacing w:line="360" w:lineRule="auto"/>
        <w:ind w:firstLine="640" w:firstLineChars="200"/>
        <w:outlineLvl w:val="1"/>
        <w:rPr>
          <w:rFonts w:ascii="Times New Roman" w:hAnsi="Times New Roman" w:eastAsia="黑体"/>
          <w:bCs/>
          <w:color w:val="000000" w:themeColor="text1"/>
          <w:sz w:val="32"/>
          <w:szCs w:val="26"/>
          <w14:textFill>
            <w14:solidFill>
              <w14:schemeClr w14:val="tx1"/>
            </w14:solidFill>
          </w14:textFill>
        </w:rPr>
      </w:pPr>
      <w:bookmarkStart w:id="353" w:name="_Toc12505"/>
      <w:bookmarkStart w:id="354" w:name="_Toc88641514"/>
      <w:bookmarkStart w:id="355" w:name="_Toc2577"/>
      <w:bookmarkStart w:id="356" w:name="_Toc26355"/>
      <w:bookmarkStart w:id="357" w:name="_Toc21398"/>
      <w:r>
        <w:rPr>
          <w:rFonts w:hint="eastAsia" w:ascii="Times New Roman" w:hAnsi="Times New Roman" w:eastAsia="黑体"/>
          <w:bCs/>
          <w:color w:val="000000" w:themeColor="text1"/>
          <w:sz w:val="32"/>
          <w:szCs w:val="26"/>
          <w14:textFill>
            <w14:solidFill>
              <w14:schemeClr w14:val="tx1"/>
            </w14:solidFill>
          </w14:textFill>
        </w:rPr>
        <w:t>四</w:t>
      </w:r>
      <w:r>
        <w:rPr>
          <w:rFonts w:ascii="Times New Roman" w:hAnsi="Times New Roman" w:eastAsia="黑体"/>
          <w:bCs/>
          <w:color w:val="000000" w:themeColor="text1"/>
          <w:sz w:val="32"/>
          <w:szCs w:val="26"/>
          <w14:textFill>
            <w14:solidFill>
              <w14:schemeClr w14:val="tx1"/>
            </w14:solidFill>
          </w14:textFill>
        </w:rPr>
        <w:t>、推动协会建设，健全有效的联系沟通机制</w:t>
      </w:r>
      <w:bookmarkEnd w:id="353"/>
      <w:bookmarkEnd w:id="354"/>
      <w:bookmarkEnd w:id="355"/>
      <w:bookmarkEnd w:id="356"/>
      <w:bookmarkEnd w:id="357"/>
    </w:p>
    <w:p>
      <w:pPr>
        <w:adjustRightInd w:val="0"/>
        <w:snapToGrid w:val="0"/>
        <w:spacing w:line="360" w:lineRule="auto"/>
        <w:ind w:firstLine="640" w:firstLineChars="200"/>
        <w:rPr>
          <w:rFonts w:ascii="Times New Roman" w:hAnsi="Times New Roman" w:eastAsia="仿宋"/>
          <w:color w:val="000000" w:themeColor="text1"/>
          <w:kern w:val="0"/>
          <w:sz w:val="32"/>
          <w:szCs w:val="32"/>
          <w14:textFill>
            <w14:solidFill>
              <w14:schemeClr w14:val="tx1"/>
            </w14:solidFill>
          </w14:textFill>
        </w:rPr>
      </w:pPr>
      <w:r>
        <w:rPr>
          <w:rFonts w:ascii="Times New Roman" w:hAnsi="Times New Roman" w:eastAsia="仿宋"/>
          <w:color w:val="000000" w:themeColor="text1"/>
          <w:kern w:val="0"/>
          <w:sz w:val="32"/>
          <w:szCs w:val="32"/>
          <w14:textFill>
            <w14:solidFill>
              <w14:schemeClr w14:val="tx1"/>
            </w14:solidFill>
          </w14:textFill>
        </w:rPr>
        <w:t>市（县、区）行业组织要根据本规划实施要求，充分发挥行业组织的协调与服务作用，抓好行业自律，配合做好绿色发展、智能发展、创新发展、试点示范等行业高质量发展工作，注重充分发挥行业协会的桥梁纽带作用，深入调研、加强交流、评优促先，使协会成为完善市场机制的重要载体和规范市场竞争秩序的重要通道，推动企业行为自律，推动建立合法、公平、有序的市场竞争环境，助力本规划明确的各项工作任务顺利完成。</w:t>
      </w:r>
    </w:p>
    <w:p>
      <w:pPr>
        <w:keepNext/>
        <w:keepLines/>
        <w:adjustRightInd w:val="0"/>
        <w:snapToGrid w:val="0"/>
        <w:spacing w:line="360" w:lineRule="auto"/>
        <w:ind w:firstLine="640" w:firstLineChars="200"/>
        <w:outlineLvl w:val="1"/>
        <w:rPr>
          <w:rFonts w:ascii="Times New Roman" w:hAnsi="Times New Roman" w:eastAsia="黑体"/>
          <w:bCs/>
          <w:color w:val="000000" w:themeColor="text1"/>
          <w:sz w:val="32"/>
          <w:szCs w:val="26"/>
          <w14:textFill>
            <w14:solidFill>
              <w14:schemeClr w14:val="tx1"/>
            </w14:solidFill>
          </w14:textFill>
        </w:rPr>
      </w:pPr>
      <w:bookmarkStart w:id="358" w:name="_Toc24737"/>
      <w:bookmarkStart w:id="359" w:name="_Toc2331"/>
      <w:bookmarkStart w:id="360" w:name="_Toc18570"/>
      <w:bookmarkStart w:id="361" w:name="_Toc13253"/>
      <w:bookmarkStart w:id="362" w:name="_Toc2342"/>
      <w:bookmarkStart w:id="363" w:name="_Toc89203823"/>
      <w:bookmarkStart w:id="364" w:name="_Toc20004"/>
      <w:bookmarkStart w:id="365" w:name="_Toc1662"/>
      <w:bookmarkStart w:id="366" w:name="_Toc32752"/>
      <w:bookmarkStart w:id="367" w:name="_Toc24366"/>
      <w:bookmarkStart w:id="368" w:name="_Toc26246"/>
      <w:bookmarkStart w:id="369" w:name="_Toc24769"/>
      <w:bookmarkStart w:id="370" w:name="_Toc12115"/>
      <w:bookmarkStart w:id="371" w:name="_Toc18730"/>
      <w:r>
        <w:rPr>
          <w:rFonts w:hint="eastAsia" w:ascii="Times New Roman" w:hAnsi="Times New Roman" w:eastAsia="黑体"/>
          <w:bCs/>
          <w:color w:val="000000" w:themeColor="text1"/>
          <w:sz w:val="32"/>
          <w:szCs w:val="26"/>
          <w14:textFill>
            <w14:solidFill>
              <w14:schemeClr w14:val="tx1"/>
            </w14:solidFill>
          </w14:textFill>
        </w:rPr>
        <w:t>五</w:t>
      </w:r>
      <w:r>
        <w:rPr>
          <w:rFonts w:ascii="Times New Roman" w:hAnsi="Times New Roman" w:eastAsia="黑体"/>
          <w:bCs/>
          <w:color w:val="000000" w:themeColor="text1"/>
          <w:sz w:val="32"/>
          <w:szCs w:val="26"/>
          <w14:textFill>
            <w14:solidFill>
              <w14:schemeClr w14:val="tx1"/>
            </w14:solidFill>
          </w14:textFill>
        </w:rPr>
        <w:t>、重视宣传引导，营造良好氛围</w:t>
      </w:r>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p>
    <w:p>
      <w:pPr>
        <w:adjustRightInd w:val="0"/>
        <w:snapToGrid w:val="0"/>
        <w:spacing w:line="360" w:lineRule="auto"/>
        <w:ind w:firstLine="640" w:firstLineChars="200"/>
        <w:rPr>
          <w:rFonts w:ascii="Times New Roman" w:hAnsi="Times New Roman"/>
          <w:color w:val="000000" w:themeColor="text1"/>
          <w14:textFill>
            <w14:solidFill>
              <w14:schemeClr w14:val="tx1"/>
            </w14:solidFill>
          </w14:textFill>
        </w:rPr>
      </w:pPr>
      <w:r>
        <w:rPr>
          <w:rFonts w:ascii="Times New Roman" w:hAnsi="Times New Roman" w:eastAsia="仿宋"/>
          <w:color w:val="000000" w:themeColor="text1"/>
          <w:kern w:val="0"/>
          <w:sz w:val="32"/>
          <w:szCs w:val="32"/>
          <w14:textFill>
            <w14:solidFill>
              <w14:schemeClr w14:val="tx1"/>
            </w14:solidFill>
          </w14:textFill>
        </w:rPr>
        <w:t>围绕工作目标，结合社会普遍关注的诸如人居环境、机器换人等热点问题，充分利用报刊、电视、网络等媒体，开展针对性地宣传，使社会各界真正了解发展散装水泥、预拌混凝土和预拌砂浆的重大意义，促使干部群众传统观念的转变，形成良好的社会氛围。</w:t>
      </w:r>
    </w:p>
    <w:sectPr>
      <w:pgSz w:w="11906" w:h="16838"/>
      <w:pgMar w:top="1247"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E15A1C6F-37C6-4D80-81C4-88169D339FE5}"/>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华文楷体">
    <w:altName w:val="宋体"/>
    <w:panose1 w:val="02010600040101010101"/>
    <w:charset w:val="86"/>
    <w:family w:val="auto"/>
    <w:pitch w:val="default"/>
    <w:sig w:usb0="00000000" w:usb1="00000000" w:usb2="00000000" w:usb3="00000000" w:csb0="0004009F" w:csb1="DFD70000"/>
  </w:font>
  <w:font w:name="仿宋_GB2312">
    <w:panose1 w:val="02010609030101010101"/>
    <w:charset w:val="86"/>
    <w:family w:val="modern"/>
    <w:pitch w:val="default"/>
    <w:sig w:usb0="00000001" w:usb1="080E0000" w:usb2="00000000" w:usb3="00000000" w:csb0="00040000" w:csb1="00000000"/>
    <w:embedRegular r:id="rId2" w:fontKey="{A1DCFA1C-B3B4-49AF-A267-701FA9FC9FF7}"/>
  </w:font>
  <w:font w:name="楷体">
    <w:panose1 w:val="02010609060101010101"/>
    <w:charset w:val="86"/>
    <w:family w:val="modern"/>
    <w:pitch w:val="default"/>
    <w:sig w:usb0="800002BF" w:usb1="38CF7CFA" w:usb2="00000016" w:usb3="00000000" w:csb0="00040001" w:csb1="00000000"/>
    <w:embedRegular r:id="rId3" w:fontKey="{2C94FBAD-1831-44F9-9EE2-60CF202B10A1}"/>
  </w:font>
  <w:font w:name="仿宋">
    <w:panose1 w:val="02010609060101010101"/>
    <w:charset w:val="86"/>
    <w:family w:val="modern"/>
    <w:pitch w:val="default"/>
    <w:sig w:usb0="800002BF" w:usb1="38CF7CFA" w:usb2="00000016" w:usb3="00000000" w:csb0="00040001" w:csb1="00000000"/>
    <w:embedRegular r:id="rId4" w:fontKey="{B327F6DC-39A8-4F5E-AD04-6FCA5F9F744E}"/>
  </w:font>
  <w:font w:name="Calibri Light">
    <w:panose1 w:val="020F0302020204030204"/>
    <w:charset w:val="00"/>
    <w:family w:val="swiss"/>
    <w:pitch w:val="default"/>
    <w:sig w:usb0="A00002EF" w:usb1="4000207B" w:usb2="00000000" w:usb3="00000000" w:csb0="2000019F" w:csb1="00000000"/>
  </w:font>
  <w:font w:name="新宋体">
    <w:panose1 w:val="02010609030101010101"/>
    <w:charset w:val="86"/>
    <w:family w:val="modern"/>
    <w:pitch w:val="default"/>
    <w:sig w:usb0="00000003" w:usb1="288F0000" w:usb2="00000006" w:usb3="00000000" w:csb0="00040001" w:csb1="00000000"/>
  </w:font>
  <w:font w:name="方正小标宋简体">
    <w:panose1 w:val="03000509000000000000"/>
    <w:charset w:val="86"/>
    <w:family w:val="auto"/>
    <w:pitch w:val="default"/>
    <w:sig w:usb0="00000001" w:usb1="080E0000" w:usb2="00000000" w:usb3="00000000" w:csb0="00040000" w:csb1="00000000"/>
    <w:embedRegular r:id="rId5" w:fontKey="{0D4BFC81-A51D-4D28-B387-CEE359335622}"/>
  </w:font>
  <w:font w:name="方正小标宋_GBK">
    <w:panose1 w:val="03000509000000000000"/>
    <w:charset w:val="86"/>
    <w:family w:val="auto"/>
    <w:pitch w:val="default"/>
    <w:sig w:usb0="00000001" w:usb1="080E0000" w:usb2="00000000" w:usb3="00000000" w:csb0="00040000" w:csb1="00000000"/>
    <w:embedRegular r:id="rId6" w:fontKey="{7F1623E8-497A-4AA5-9804-53EACB0EF687}"/>
  </w:font>
  <w:font w:name="微软雅黑">
    <w:panose1 w:val="020B0503020204020204"/>
    <w:charset w:val="86"/>
    <w:family w:val="swiss"/>
    <w:pitch w:val="default"/>
    <w:sig w:usb0="80000287" w:usb1="280F3C52" w:usb2="00000016" w:usb3="00000000" w:csb0="0004001F" w:csb1="00000000"/>
    <w:embedRegular r:id="rId7" w:fontKey="{C57A1815-AD99-4C87-9E04-78720369DA59}"/>
  </w:font>
  <w:font w:name="方正黑体_GBK">
    <w:panose1 w:val="03000509000000000000"/>
    <w:charset w:val="86"/>
    <w:family w:val="auto"/>
    <w:pitch w:val="default"/>
    <w:sig w:usb0="00000001" w:usb1="080E0000" w:usb2="00000000" w:usb3="00000000" w:csb0="00040000" w:csb1="00000000"/>
    <w:embedRegular r:id="rId8" w:fontKey="{3967D203-4233-43AD-84DD-3D619B45FFE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p>
    <w:pPr>
      <w:pStyle w:val="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rPr>
                              <w:sz w:val="24"/>
                              <w:szCs w:val="24"/>
                            </w:rPr>
                          </w:pPr>
                          <w:r>
                            <w:rPr>
                              <w:sz w:val="24"/>
                              <w:szCs w:val="24"/>
                            </w:rPr>
                            <w:fldChar w:fldCharType="begin"/>
                          </w:r>
                          <w:r>
                            <w:rPr>
                              <w:sz w:val="24"/>
                              <w:szCs w:val="24"/>
                            </w:rPr>
                            <w:instrText xml:space="preserve"> PAGE  \* MERGEFORMAT </w:instrText>
                          </w:r>
                          <w:r>
                            <w:rPr>
                              <w:sz w:val="24"/>
                              <w:szCs w:val="24"/>
                            </w:rPr>
                            <w:fldChar w:fldCharType="separate"/>
                          </w:r>
                          <w:r>
                            <w:rPr>
                              <w:sz w:val="24"/>
                              <w:szCs w:val="24"/>
                            </w:rPr>
                            <w:t>II</w:t>
                          </w:r>
                          <w:r>
                            <w:rPr>
                              <w:sz w:val="24"/>
                              <w:szCs w:val="24"/>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NJWO7QAAAABQEAAA8AAAAAAAAAAQAgAAAAIgAA&#10;AGRycy9kb3ducmV2LnhtbFBLAQIUABQAAAAIAIdO4kBhlWFeEAIAAAcEAAAOAAAAAAAAAAEAIAAA&#10;AB8BAABkcnMvZTJvRG9jLnhtbFBLBQYAAAAABgAGAFkBAAChBQAAAAA=&#10;">
              <v:fill on="f" focussize="0,0"/>
              <v:stroke on="f" weight="0.5pt"/>
              <v:imagedata o:title=""/>
              <o:lock v:ext="edit" aspectratio="f"/>
              <v:textbox inset="0mm,0mm,0mm,0mm" style="mso-fit-shape-to-text:t;">
                <w:txbxContent>
                  <w:p>
                    <w:pPr>
                      <w:pStyle w:val="9"/>
                      <w:rPr>
                        <w:sz w:val="24"/>
                        <w:szCs w:val="24"/>
                      </w:rPr>
                    </w:pPr>
                    <w:r>
                      <w:rPr>
                        <w:sz w:val="24"/>
                        <w:szCs w:val="24"/>
                      </w:rPr>
                      <w:fldChar w:fldCharType="begin"/>
                    </w:r>
                    <w:r>
                      <w:rPr>
                        <w:sz w:val="24"/>
                        <w:szCs w:val="24"/>
                      </w:rPr>
                      <w:instrText xml:space="preserve"> PAGE  \* MERGEFORMAT </w:instrText>
                    </w:r>
                    <w:r>
                      <w:rPr>
                        <w:sz w:val="24"/>
                        <w:szCs w:val="24"/>
                      </w:rPr>
                      <w:fldChar w:fldCharType="separate"/>
                    </w:r>
                    <w:r>
                      <w:rPr>
                        <w:sz w:val="24"/>
                        <w:szCs w:val="24"/>
                      </w:rPr>
                      <w:t>II</w:t>
                    </w:r>
                    <w:r>
                      <w:rPr>
                        <w:sz w:val="24"/>
                        <w:szCs w:val="24"/>
                      </w:rPr>
                      <w:fldChar w:fldCharType="end"/>
                    </w:r>
                  </w:p>
                </w:txbxContent>
              </v:textbox>
            </v:shape>
          </w:pict>
        </mc:Fallback>
      </mc:AlternateContent>
    </w:r>
  </w:p>
  <w:p>
    <w:pPr>
      <w:pStyle w:val="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rPr>
                              <w:sz w:val="24"/>
                              <w:szCs w:val="24"/>
                            </w:rPr>
                          </w:pPr>
                          <w:r>
                            <w:rPr>
                              <w:sz w:val="24"/>
                              <w:szCs w:val="24"/>
                            </w:rPr>
                            <w:fldChar w:fldCharType="begin"/>
                          </w:r>
                          <w:r>
                            <w:rPr>
                              <w:sz w:val="24"/>
                              <w:szCs w:val="24"/>
                            </w:rPr>
                            <w:instrText xml:space="preserve"> PAGE  \* MERGEFORMAT </w:instrText>
                          </w:r>
                          <w:r>
                            <w:rPr>
                              <w:sz w:val="24"/>
                              <w:szCs w:val="24"/>
                            </w:rPr>
                            <w:fldChar w:fldCharType="separate"/>
                          </w:r>
                          <w:r>
                            <w:rPr>
                              <w:sz w:val="24"/>
                              <w:szCs w:val="24"/>
                            </w:rPr>
                            <w:t>28</w:t>
                          </w:r>
                          <w:r>
                            <w:rPr>
                              <w:sz w:val="24"/>
                              <w:szCs w:val="24"/>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zSVju0AAAAAUBAAAPAAAAAAAAAAEAIAAAACIAAABk&#10;cnMvZG93bnJldi54bWxQSwECFAAUAAAACACHTuJA+k7mmg4CAAAHBAAADgAAAAAAAAABACAAAAAf&#10;AQAAZHJzL2Uyb0RvYy54bWxQSwUGAAAAAAYABgBZAQAAnwUAAAAA&#10;">
              <v:fill on="f" focussize="0,0"/>
              <v:stroke on="f" weight="0.5pt"/>
              <v:imagedata o:title=""/>
              <o:lock v:ext="edit" aspectratio="f"/>
              <v:textbox inset="0mm,0mm,0mm,0mm" style="mso-fit-shape-to-text:t;">
                <w:txbxContent>
                  <w:p>
                    <w:pPr>
                      <w:pStyle w:val="9"/>
                      <w:rPr>
                        <w:sz w:val="24"/>
                        <w:szCs w:val="24"/>
                      </w:rPr>
                    </w:pPr>
                    <w:r>
                      <w:rPr>
                        <w:sz w:val="24"/>
                        <w:szCs w:val="24"/>
                      </w:rPr>
                      <w:fldChar w:fldCharType="begin"/>
                    </w:r>
                    <w:r>
                      <w:rPr>
                        <w:sz w:val="24"/>
                        <w:szCs w:val="24"/>
                      </w:rPr>
                      <w:instrText xml:space="preserve"> PAGE  \* MERGEFORMAT </w:instrText>
                    </w:r>
                    <w:r>
                      <w:rPr>
                        <w:sz w:val="24"/>
                        <w:szCs w:val="24"/>
                      </w:rPr>
                      <w:fldChar w:fldCharType="separate"/>
                    </w:r>
                    <w:r>
                      <w:rPr>
                        <w:sz w:val="24"/>
                        <w:szCs w:val="24"/>
                      </w:rPr>
                      <w:t>28</w:t>
                    </w:r>
                    <w:r>
                      <w:rPr>
                        <w:sz w:val="24"/>
                        <w:szCs w:val="24"/>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4ECC237"/>
    <w:multiLevelType w:val="singleLevel"/>
    <w:tmpl w:val="94ECC237"/>
    <w:lvl w:ilvl="0" w:tentative="0">
      <w:start w:val="5"/>
      <w:numFmt w:val="chineseCounting"/>
      <w:suff w:val="nothing"/>
      <w:lvlText w:val="（%1）"/>
      <w:lvlJc w:val="left"/>
      <w:rPr>
        <w:rFonts w:hint="eastAsia"/>
      </w:rPr>
    </w:lvl>
  </w:abstractNum>
  <w:abstractNum w:abstractNumId="1">
    <w:nsid w:val="F1E2A891"/>
    <w:multiLevelType w:val="singleLevel"/>
    <w:tmpl w:val="F1E2A891"/>
    <w:lvl w:ilvl="0" w:tentative="0">
      <w:start w:val="2"/>
      <w:numFmt w:val="chineseCounting"/>
      <w:suff w:val="nothing"/>
      <w:lvlText w:val="（%1）"/>
      <w:lvlJc w:val="left"/>
      <w:rPr>
        <w:rFonts w:hint="eastAsia"/>
      </w:rPr>
    </w:lvl>
  </w:abstractNum>
  <w:abstractNum w:abstractNumId="2">
    <w:nsid w:val="24563E95"/>
    <w:multiLevelType w:val="singleLevel"/>
    <w:tmpl w:val="24563E95"/>
    <w:lvl w:ilvl="0" w:tentative="0">
      <w:start w:val="1"/>
      <w:numFmt w:val="chineseCounting"/>
      <w:suff w:val="nothing"/>
      <w:lvlText w:val="%1、"/>
      <w:lvlJc w:val="left"/>
      <w:rPr>
        <w:rFonts w:hint="eastAsia"/>
        <w:b/>
        <w:bCs/>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bordersDoNotSurroundHeader w:val="0"/>
  <w:bordersDoNotSurroundFooter w:val="0"/>
  <w:documentProtection w:enforcement="0"/>
  <w:defaultTabStop w:val="420"/>
  <w:drawingGridHorizontalSpacing w:val="105"/>
  <w:drawingGridVerticalSpacing w:val="160"/>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dkNjk2Zjg4N2M3YzgxMDM1MjIzOWMzZTZjZDQ5OGMifQ=="/>
  </w:docVars>
  <w:rsids>
    <w:rsidRoot w:val="009349BE"/>
    <w:rsid w:val="000551F4"/>
    <w:rsid w:val="00074DF5"/>
    <w:rsid w:val="00091F34"/>
    <w:rsid w:val="000A44CA"/>
    <w:rsid w:val="000D4E2E"/>
    <w:rsid w:val="001343AA"/>
    <w:rsid w:val="0013480C"/>
    <w:rsid w:val="0014350F"/>
    <w:rsid w:val="00151D11"/>
    <w:rsid w:val="0017703B"/>
    <w:rsid w:val="00243E97"/>
    <w:rsid w:val="00244BFB"/>
    <w:rsid w:val="00255C2A"/>
    <w:rsid w:val="00270470"/>
    <w:rsid w:val="00287C6E"/>
    <w:rsid w:val="0030401D"/>
    <w:rsid w:val="00306FE4"/>
    <w:rsid w:val="003260C0"/>
    <w:rsid w:val="00356F86"/>
    <w:rsid w:val="003B0E0C"/>
    <w:rsid w:val="00430BAB"/>
    <w:rsid w:val="00470C82"/>
    <w:rsid w:val="00471CB6"/>
    <w:rsid w:val="004D67AE"/>
    <w:rsid w:val="004E51A9"/>
    <w:rsid w:val="004F0A41"/>
    <w:rsid w:val="00501DD3"/>
    <w:rsid w:val="00517F19"/>
    <w:rsid w:val="00586B5E"/>
    <w:rsid w:val="005B7747"/>
    <w:rsid w:val="005C41A3"/>
    <w:rsid w:val="005E568F"/>
    <w:rsid w:val="00650CDC"/>
    <w:rsid w:val="006571C1"/>
    <w:rsid w:val="006707AD"/>
    <w:rsid w:val="006762F9"/>
    <w:rsid w:val="006C0D2D"/>
    <w:rsid w:val="006D28E7"/>
    <w:rsid w:val="006D38FD"/>
    <w:rsid w:val="006F1B7C"/>
    <w:rsid w:val="006F3B75"/>
    <w:rsid w:val="007078FB"/>
    <w:rsid w:val="00716B70"/>
    <w:rsid w:val="00725E37"/>
    <w:rsid w:val="00732279"/>
    <w:rsid w:val="00742704"/>
    <w:rsid w:val="0077631C"/>
    <w:rsid w:val="00796534"/>
    <w:rsid w:val="007A4C35"/>
    <w:rsid w:val="007D2AD6"/>
    <w:rsid w:val="007D6C71"/>
    <w:rsid w:val="007F793C"/>
    <w:rsid w:val="00804B47"/>
    <w:rsid w:val="008159B4"/>
    <w:rsid w:val="00890D93"/>
    <w:rsid w:val="008A5EBB"/>
    <w:rsid w:val="008A7F92"/>
    <w:rsid w:val="008C6F5C"/>
    <w:rsid w:val="00910AE2"/>
    <w:rsid w:val="0091144D"/>
    <w:rsid w:val="009349BE"/>
    <w:rsid w:val="00975D3C"/>
    <w:rsid w:val="00993050"/>
    <w:rsid w:val="009B0EBF"/>
    <w:rsid w:val="009D163A"/>
    <w:rsid w:val="009D1863"/>
    <w:rsid w:val="00A40057"/>
    <w:rsid w:val="00A45581"/>
    <w:rsid w:val="00A5235B"/>
    <w:rsid w:val="00A9239F"/>
    <w:rsid w:val="00A95D52"/>
    <w:rsid w:val="00AF087A"/>
    <w:rsid w:val="00AF2C1B"/>
    <w:rsid w:val="00B647DE"/>
    <w:rsid w:val="00BB0EF5"/>
    <w:rsid w:val="00BB27CA"/>
    <w:rsid w:val="00C031A5"/>
    <w:rsid w:val="00C05253"/>
    <w:rsid w:val="00C5273D"/>
    <w:rsid w:val="00C71BE8"/>
    <w:rsid w:val="00C92118"/>
    <w:rsid w:val="00D2098F"/>
    <w:rsid w:val="00D43E33"/>
    <w:rsid w:val="00D44DB9"/>
    <w:rsid w:val="00D907DC"/>
    <w:rsid w:val="00D965E4"/>
    <w:rsid w:val="00E0278D"/>
    <w:rsid w:val="00E215C0"/>
    <w:rsid w:val="00E553CC"/>
    <w:rsid w:val="00E975DA"/>
    <w:rsid w:val="00EF748D"/>
    <w:rsid w:val="00F12E0A"/>
    <w:rsid w:val="00F2385D"/>
    <w:rsid w:val="00F26348"/>
    <w:rsid w:val="00F950AF"/>
    <w:rsid w:val="00FA6C5C"/>
    <w:rsid w:val="00FA7EC9"/>
    <w:rsid w:val="00FE56DA"/>
    <w:rsid w:val="01082A1F"/>
    <w:rsid w:val="016666E5"/>
    <w:rsid w:val="0293019C"/>
    <w:rsid w:val="03056B58"/>
    <w:rsid w:val="031102F5"/>
    <w:rsid w:val="049D7DEA"/>
    <w:rsid w:val="04EA05CF"/>
    <w:rsid w:val="051368D8"/>
    <w:rsid w:val="05175801"/>
    <w:rsid w:val="05A51C18"/>
    <w:rsid w:val="05CE761C"/>
    <w:rsid w:val="06D646EB"/>
    <w:rsid w:val="06EB3E99"/>
    <w:rsid w:val="070D0B30"/>
    <w:rsid w:val="071C6FC5"/>
    <w:rsid w:val="077D1A1C"/>
    <w:rsid w:val="07A35C77"/>
    <w:rsid w:val="07B1299C"/>
    <w:rsid w:val="080E3854"/>
    <w:rsid w:val="081E37F6"/>
    <w:rsid w:val="0855667D"/>
    <w:rsid w:val="087E700F"/>
    <w:rsid w:val="092874BE"/>
    <w:rsid w:val="09BA0FC3"/>
    <w:rsid w:val="0A4F6F8E"/>
    <w:rsid w:val="0B344C7C"/>
    <w:rsid w:val="0B367958"/>
    <w:rsid w:val="0B540973"/>
    <w:rsid w:val="0B5B2C56"/>
    <w:rsid w:val="0B6E41B6"/>
    <w:rsid w:val="0B7F3940"/>
    <w:rsid w:val="0C2B7D96"/>
    <w:rsid w:val="0C645AF4"/>
    <w:rsid w:val="0C6640A3"/>
    <w:rsid w:val="0CA55502"/>
    <w:rsid w:val="0D1045B9"/>
    <w:rsid w:val="0D447909"/>
    <w:rsid w:val="0DB574C2"/>
    <w:rsid w:val="0E4F5ED2"/>
    <w:rsid w:val="0E851F84"/>
    <w:rsid w:val="0E984291"/>
    <w:rsid w:val="0EAC08BC"/>
    <w:rsid w:val="0EBE3FA8"/>
    <w:rsid w:val="0F067926"/>
    <w:rsid w:val="0FA6426C"/>
    <w:rsid w:val="0FBB2E88"/>
    <w:rsid w:val="0FC24A4B"/>
    <w:rsid w:val="0FC26426"/>
    <w:rsid w:val="102C1AD7"/>
    <w:rsid w:val="1070147D"/>
    <w:rsid w:val="118F34C7"/>
    <w:rsid w:val="119B5DE4"/>
    <w:rsid w:val="11A44C7D"/>
    <w:rsid w:val="122A547C"/>
    <w:rsid w:val="12C8368F"/>
    <w:rsid w:val="134A310C"/>
    <w:rsid w:val="13B96B29"/>
    <w:rsid w:val="13E37EEB"/>
    <w:rsid w:val="150E0D99"/>
    <w:rsid w:val="15407816"/>
    <w:rsid w:val="155B2054"/>
    <w:rsid w:val="159B4EC4"/>
    <w:rsid w:val="16057048"/>
    <w:rsid w:val="161B0BBA"/>
    <w:rsid w:val="164C431D"/>
    <w:rsid w:val="16845D4A"/>
    <w:rsid w:val="168E7020"/>
    <w:rsid w:val="179F024E"/>
    <w:rsid w:val="17CD1ED3"/>
    <w:rsid w:val="17F04C6C"/>
    <w:rsid w:val="180442CD"/>
    <w:rsid w:val="189E29EE"/>
    <w:rsid w:val="18FF6357"/>
    <w:rsid w:val="19070F57"/>
    <w:rsid w:val="193B574E"/>
    <w:rsid w:val="19725ACB"/>
    <w:rsid w:val="19C45385"/>
    <w:rsid w:val="1A220497"/>
    <w:rsid w:val="1AC10DA6"/>
    <w:rsid w:val="1AD65F8E"/>
    <w:rsid w:val="1AF902CD"/>
    <w:rsid w:val="1B4A2A73"/>
    <w:rsid w:val="1B627EE9"/>
    <w:rsid w:val="1B6F5577"/>
    <w:rsid w:val="1BD0609A"/>
    <w:rsid w:val="1CEB5A08"/>
    <w:rsid w:val="1D5E5039"/>
    <w:rsid w:val="1DAF45FE"/>
    <w:rsid w:val="1E1C2D33"/>
    <w:rsid w:val="1EA23078"/>
    <w:rsid w:val="1F3C36F1"/>
    <w:rsid w:val="1F9363DE"/>
    <w:rsid w:val="20281295"/>
    <w:rsid w:val="217768FE"/>
    <w:rsid w:val="221479DF"/>
    <w:rsid w:val="22293B5A"/>
    <w:rsid w:val="228458C9"/>
    <w:rsid w:val="22861ECD"/>
    <w:rsid w:val="23345E2A"/>
    <w:rsid w:val="236B07FE"/>
    <w:rsid w:val="238E6718"/>
    <w:rsid w:val="23903A8B"/>
    <w:rsid w:val="240D62E5"/>
    <w:rsid w:val="241F332B"/>
    <w:rsid w:val="2438146A"/>
    <w:rsid w:val="25115838"/>
    <w:rsid w:val="252F7249"/>
    <w:rsid w:val="25333A00"/>
    <w:rsid w:val="2573390C"/>
    <w:rsid w:val="264E5657"/>
    <w:rsid w:val="2689050D"/>
    <w:rsid w:val="26D45EE7"/>
    <w:rsid w:val="26D51898"/>
    <w:rsid w:val="26E8455E"/>
    <w:rsid w:val="28187ED3"/>
    <w:rsid w:val="2824557C"/>
    <w:rsid w:val="28E30820"/>
    <w:rsid w:val="28F3589F"/>
    <w:rsid w:val="28FB0248"/>
    <w:rsid w:val="297C5BEE"/>
    <w:rsid w:val="298D2D86"/>
    <w:rsid w:val="29DE7F01"/>
    <w:rsid w:val="2B2B62C1"/>
    <w:rsid w:val="2B997968"/>
    <w:rsid w:val="2B9B2E6A"/>
    <w:rsid w:val="2BC160FD"/>
    <w:rsid w:val="2BDF11BD"/>
    <w:rsid w:val="2BEB2B7A"/>
    <w:rsid w:val="2BFA219C"/>
    <w:rsid w:val="2C52405C"/>
    <w:rsid w:val="2C727C59"/>
    <w:rsid w:val="2CE01563"/>
    <w:rsid w:val="2D5551E2"/>
    <w:rsid w:val="2D777247"/>
    <w:rsid w:val="2E1F47D9"/>
    <w:rsid w:val="2E42503C"/>
    <w:rsid w:val="2E456A2F"/>
    <w:rsid w:val="2E7D3F3E"/>
    <w:rsid w:val="2F5E686F"/>
    <w:rsid w:val="2FF36ED8"/>
    <w:rsid w:val="30091BD8"/>
    <w:rsid w:val="30501F89"/>
    <w:rsid w:val="30874DF8"/>
    <w:rsid w:val="30DC1CEF"/>
    <w:rsid w:val="30FE2B88"/>
    <w:rsid w:val="31310206"/>
    <w:rsid w:val="31612F97"/>
    <w:rsid w:val="31AD53E4"/>
    <w:rsid w:val="31E13B9D"/>
    <w:rsid w:val="31EB39D1"/>
    <w:rsid w:val="32B16937"/>
    <w:rsid w:val="3331009E"/>
    <w:rsid w:val="333806AA"/>
    <w:rsid w:val="346A437E"/>
    <w:rsid w:val="35DA3A24"/>
    <w:rsid w:val="35FB675F"/>
    <w:rsid w:val="36492D8D"/>
    <w:rsid w:val="37B00202"/>
    <w:rsid w:val="385542B8"/>
    <w:rsid w:val="38934FA3"/>
    <w:rsid w:val="38F8716B"/>
    <w:rsid w:val="38FE09F5"/>
    <w:rsid w:val="39076DB0"/>
    <w:rsid w:val="3947499A"/>
    <w:rsid w:val="396F7738"/>
    <w:rsid w:val="3A7C5EDD"/>
    <w:rsid w:val="3A99566C"/>
    <w:rsid w:val="3B1A12EE"/>
    <w:rsid w:val="3BC81360"/>
    <w:rsid w:val="3BF438CE"/>
    <w:rsid w:val="3DA2325D"/>
    <w:rsid w:val="3DA52B6A"/>
    <w:rsid w:val="3DAD67AF"/>
    <w:rsid w:val="3DB55D1A"/>
    <w:rsid w:val="3E1B7C8C"/>
    <w:rsid w:val="3E5008D9"/>
    <w:rsid w:val="3E9568A5"/>
    <w:rsid w:val="3EBF3373"/>
    <w:rsid w:val="3ED738DE"/>
    <w:rsid w:val="3F250701"/>
    <w:rsid w:val="3FC7131D"/>
    <w:rsid w:val="3FD805E9"/>
    <w:rsid w:val="401C7851"/>
    <w:rsid w:val="408054C9"/>
    <w:rsid w:val="40C477AB"/>
    <w:rsid w:val="40F64920"/>
    <w:rsid w:val="411539CB"/>
    <w:rsid w:val="41E36B55"/>
    <w:rsid w:val="41FD6A86"/>
    <w:rsid w:val="42A426A8"/>
    <w:rsid w:val="42C54363"/>
    <w:rsid w:val="42E33C42"/>
    <w:rsid w:val="430104C8"/>
    <w:rsid w:val="439C1E8C"/>
    <w:rsid w:val="43D940B4"/>
    <w:rsid w:val="43FF4782"/>
    <w:rsid w:val="44856865"/>
    <w:rsid w:val="449410AE"/>
    <w:rsid w:val="44A53593"/>
    <w:rsid w:val="44FD2946"/>
    <w:rsid w:val="45535729"/>
    <w:rsid w:val="455E0D42"/>
    <w:rsid w:val="45EF7837"/>
    <w:rsid w:val="461B41B0"/>
    <w:rsid w:val="465E3877"/>
    <w:rsid w:val="469C466F"/>
    <w:rsid w:val="46C61474"/>
    <w:rsid w:val="473D27CD"/>
    <w:rsid w:val="47925EAD"/>
    <w:rsid w:val="47CE54AA"/>
    <w:rsid w:val="486A4289"/>
    <w:rsid w:val="487321E2"/>
    <w:rsid w:val="48AC1250"/>
    <w:rsid w:val="48AF3685"/>
    <w:rsid w:val="48FC2D2D"/>
    <w:rsid w:val="494C0C88"/>
    <w:rsid w:val="4AB5778E"/>
    <w:rsid w:val="4B005387"/>
    <w:rsid w:val="4B266E56"/>
    <w:rsid w:val="4B4563EB"/>
    <w:rsid w:val="4B775B45"/>
    <w:rsid w:val="4B9B5CE3"/>
    <w:rsid w:val="4BDD6B53"/>
    <w:rsid w:val="4CD51E93"/>
    <w:rsid w:val="4DDB5E1F"/>
    <w:rsid w:val="4E5D7DF4"/>
    <w:rsid w:val="4EA10825"/>
    <w:rsid w:val="4EA65C30"/>
    <w:rsid w:val="4EB019AD"/>
    <w:rsid w:val="4EC20EBB"/>
    <w:rsid w:val="4EC3182B"/>
    <w:rsid w:val="4F165E5F"/>
    <w:rsid w:val="4FBC1EAA"/>
    <w:rsid w:val="4FCC61E8"/>
    <w:rsid w:val="4FCF5461"/>
    <w:rsid w:val="50825D5F"/>
    <w:rsid w:val="51426D81"/>
    <w:rsid w:val="51FF28E7"/>
    <w:rsid w:val="527C1C9E"/>
    <w:rsid w:val="52B05402"/>
    <w:rsid w:val="53E8132E"/>
    <w:rsid w:val="54134F7C"/>
    <w:rsid w:val="54617393"/>
    <w:rsid w:val="54A004D1"/>
    <w:rsid w:val="55070957"/>
    <w:rsid w:val="559F54DE"/>
    <w:rsid w:val="56F6641B"/>
    <w:rsid w:val="57092054"/>
    <w:rsid w:val="57273E4F"/>
    <w:rsid w:val="575D6E26"/>
    <w:rsid w:val="578501A0"/>
    <w:rsid w:val="584C3A46"/>
    <w:rsid w:val="58D7311F"/>
    <w:rsid w:val="58FC6629"/>
    <w:rsid w:val="594A554D"/>
    <w:rsid w:val="59795E20"/>
    <w:rsid w:val="59FF3F68"/>
    <w:rsid w:val="5A0A6C7E"/>
    <w:rsid w:val="5A685031"/>
    <w:rsid w:val="5A8100F6"/>
    <w:rsid w:val="5AC836E3"/>
    <w:rsid w:val="5AE06E0F"/>
    <w:rsid w:val="5B6A07EE"/>
    <w:rsid w:val="5BD24F44"/>
    <w:rsid w:val="5C6370E7"/>
    <w:rsid w:val="5C944CC9"/>
    <w:rsid w:val="5CE64865"/>
    <w:rsid w:val="5D2437AD"/>
    <w:rsid w:val="5D692E72"/>
    <w:rsid w:val="5D957D11"/>
    <w:rsid w:val="5D9D7BB3"/>
    <w:rsid w:val="5DE04510"/>
    <w:rsid w:val="5E054463"/>
    <w:rsid w:val="5EDB7B65"/>
    <w:rsid w:val="605C3CBF"/>
    <w:rsid w:val="60B53531"/>
    <w:rsid w:val="60E54C06"/>
    <w:rsid w:val="62126D29"/>
    <w:rsid w:val="621960A3"/>
    <w:rsid w:val="626E4FF8"/>
    <w:rsid w:val="62AB43D1"/>
    <w:rsid w:val="62D76B9F"/>
    <w:rsid w:val="63DB01A2"/>
    <w:rsid w:val="63E87188"/>
    <w:rsid w:val="64F42A7C"/>
    <w:rsid w:val="6593468C"/>
    <w:rsid w:val="66946BFE"/>
    <w:rsid w:val="66BF4F42"/>
    <w:rsid w:val="67137C8C"/>
    <w:rsid w:val="678213EF"/>
    <w:rsid w:val="687738C2"/>
    <w:rsid w:val="6B31700A"/>
    <w:rsid w:val="6B4C781A"/>
    <w:rsid w:val="6BAB4CD4"/>
    <w:rsid w:val="6BBE2FA1"/>
    <w:rsid w:val="6BDB062D"/>
    <w:rsid w:val="6C1B26AA"/>
    <w:rsid w:val="6C4B544F"/>
    <w:rsid w:val="6CA12F5C"/>
    <w:rsid w:val="6CDE3F67"/>
    <w:rsid w:val="6D7A7657"/>
    <w:rsid w:val="6DA050FD"/>
    <w:rsid w:val="6E3A2CD6"/>
    <w:rsid w:val="6E774886"/>
    <w:rsid w:val="6F6D48C8"/>
    <w:rsid w:val="6F971B21"/>
    <w:rsid w:val="70B04D94"/>
    <w:rsid w:val="70DF6B7F"/>
    <w:rsid w:val="71523D59"/>
    <w:rsid w:val="71994537"/>
    <w:rsid w:val="71E5006A"/>
    <w:rsid w:val="71F325DF"/>
    <w:rsid w:val="72172959"/>
    <w:rsid w:val="73480E94"/>
    <w:rsid w:val="73E163A3"/>
    <w:rsid w:val="740F4B18"/>
    <w:rsid w:val="74A328AC"/>
    <w:rsid w:val="75417FD3"/>
    <w:rsid w:val="75A46D38"/>
    <w:rsid w:val="75D27AB9"/>
    <w:rsid w:val="76342A34"/>
    <w:rsid w:val="76734BEB"/>
    <w:rsid w:val="771F21D5"/>
    <w:rsid w:val="77EB2C5C"/>
    <w:rsid w:val="79E149AB"/>
    <w:rsid w:val="79F415EB"/>
    <w:rsid w:val="7A4A2864"/>
    <w:rsid w:val="7A4F585B"/>
    <w:rsid w:val="7A544338"/>
    <w:rsid w:val="7A7411B4"/>
    <w:rsid w:val="7AB93DAB"/>
    <w:rsid w:val="7AE83B87"/>
    <w:rsid w:val="7B3D4178"/>
    <w:rsid w:val="7B6E4380"/>
    <w:rsid w:val="7BDD3F09"/>
    <w:rsid w:val="7C1D189A"/>
    <w:rsid w:val="7C275E93"/>
    <w:rsid w:val="7C5848FD"/>
    <w:rsid w:val="7CD122AE"/>
    <w:rsid w:val="7D8F218C"/>
    <w:rsid w:val="7E2E33C0"/>
    <w:rsid w:val="7E3317C7"/>
    <w:rsid w:val="7E356A6B"/>
    <w:rsid w:val="7E5F70C7"/>
    <w:rsid w:val="7E641096"/>
    <w:rsid w:val="7EC30131"/>
    <w:rsid w:val="7F195E4A"/>
    <w:rsid w:val="7F2F2C4E"/>
    <w:rsid w:val="7F86639B"/>
    <w:rsid w:val="7F9A43CC"/>
    <w:rsid w:val="7FBA24A2"/>
    <w:rsid w:val="7FD8131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2"/>
      <w:lang w:val="en-US" w:eastAsia="zh-CN" w:bidi="ar-SA"/>
    </w:rPr>
  </w:style>
  <w:style w:type="paragraph" w:styleId="3">
    <w:name w:val="heading 1"/>
    <w:basedOn w:val="1"/>
    <w:next w:val="1"/>
    <w:qFormat/>
    <w:uiPriority w:val="0"/>
    <w:pPr>
      <w:spacing w:beforeAutospacing="1" w:afterAutospacing="1"/>
      <w:jc w:val="left"/>
      <w:outlineLvl w:val="0"/>
    </w:pPr>
    <w:rPr>
      <w:rFonts w:hint="eastAsia" w:ascii="宋体" w:hAnsi="宋体"/>
      <w:b/>
      <w:bCs/>
      <w:kern w:val="44"/>
      <w:sz w:val="48"/>
      <w:szCs w:val="48"/>
    </w:rPr>
  </w:style>
  <w:style w:type="paragraph" w:styleId="4">
    <w:name w:val="heading 2"/>
    <w:basedOn w:val="1"/>
    <w:next w:val="1"/>
    <w:semiHidden/>
    <w:unhideWhenUsed/>
    <w:qFormat/>
    <w:uiPriority w:val="0"/>
    <w:pPr>
      <w:keepNext/>
      <w:keepLines/>
      <w:spacing w:before="260" w:after="260" w:line="413" w:lineRule="auto"/>
      <w:outlineLvl w:val="1"/>
    </w:pPr>
    <w:rPr>
      <w:rFonts w:ascii="Arial" w:hAnsi="Arial" w:eastAsia="黑体"/>
      <w:b/>
      <w:sz w:val="32"/>
    </w:rPr>
  </w:style>
  <w:style w:type="paragraph" w:styleId="5">
    <w:name w:val="heading 3"/>
    <w:basedOn w:val="1"/>
    <w:next w:val="1"/>
    <w:semiHidden/>
    <w:unhideWhenUsed/>
    <w:qFormat/>
    <w:uiPriority w:val="0"/>
    <w:pPr>
      <w:spacing w:beforeAutospacing="1" w:afterAutospacing="1"/>
      <w:jc w:val="left"/>
      <w:outlineLvl w:val="2"/>
    </w:pPr>
    <w:rPr>
      <w:rFonts w:hint="eastAsia" w:ascii="宋体" w:hAnsi="宋体"/>
      <w:b/>
      <w:bCs/>
      <w:kern w:val="0"/>
      <w:sz w:val="27"/>
      <w:szCs w:val="27"/>
    </w:rPr>
  </w:style>
  <w:style w:type="character" w:default="1" w:styleId="16">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2">
    <w:name w:val="Body Text Indent 2"/>
    <w:basedOn w:val="1"/>
    <w:unhideWhenUsed/>
    <w:qFormat/>
    <w:uiPriority w:val="0"/>
    <w:pPr>
      <w:spacing w:after="120" w:line="480" w:lineRule="auto"/>
      <w:ind w:left="420"/>
    </w:pPr>
    <w:rPr>
      <w:szCs w:val="24"/>
    </w:rPr>
  </w:style>
  <w:style w:type="paragraph" w:styleId="6">
    <w:name w:val="annotation text"/>
    <w:basedOn w:val="1"/>
    <w:link w:val="26"/>
    <w:qFormat/>
    <w:uiPriority w:val="0"/>
    <w:pPr>
      <w:jc w:val="left"/>
    </w:pPr>
    <w:rPr>
      <w:rFonts w:asciiTheme="minorHAnsi" w:hAnsiTheme="minorHAnsi" w:eastAsiaTheme="minorEastAsia" w:cstheme="minorBidi"/>
      <w:szCs w:val="24"/>
    </w:rPr>
  </w:style>
  <w:style w:type="paragraph" w:styleId="7">
    <w:name w:val="toc 3"/>
    <w:basedOn w:val="1"/>
    <w:next w:val="1"/>
    <w:qFormat/>
    <w:uiPriority w:val="39"/>
    <w:pPr>
      <w:ind w:left="840" w:leftChars="400"/>
    </w:pPr>
  </w:style>
  <w:style w:type="paragraph" w:styleId="8">
    <w:name w:val="Balloon Text"/>
    <w:basedOn w:val="1"/>
    <w:link w:val="28"/>
    <w:qFormat/>
    <w:uiPriority w:val="0"/>
    <w:rPr>
      <w:sz w:val="18"/>
      <w:szCs w:val="18"/>
    </w:rPr>
  </w:style>
  <w:style w:type="paragraph" w:styleId="9">
    <w:name w:val="footer"/>
    <w:link w:val="30"/>
    <w:qFormat/>
    <w:uiPriority w:val="99"/>
    <w:pPr>
      <w:widowControl w:val="0"/>
      <w:tabs>
        <w:tab w:val="center" w:pos="4153"/>
        <w:tab w:val="right" w:pos="8306"/>
      </w:tabs>
      <w:snapToGrid w:val="0"/>
    </w:pPr>
    <w:rPr>
      <w:rFonts w:ascii="Times New Roman" w:hAnsi="Times New Roman" w:eastAsia="宋体" w:cs="Times New Roman"/>
      <w:kern w:val="2"/>
      <w:sz w:val="18"/>
      <w:szCs w:val="18"/>
      <w:lang w:val="en-US" w:eastAsia="zh-CN" w:bidi="ar-SA"/>
    </w:rPr>
  </w:style>
  <w:style w:type="paragraph" w:styleId="10">
    <w:name w:val="header"/>
    <w:basedOn w:val="1"/>
    <w:link w:val="29"/>
    <w:qFormat/>
    <w:uiPriority w:val="0"/>
    <w:pPr>
      <w:pBdr>
        <w:bottom w:val="single" w:color="auto" w:sz="6" w:space="1"/>
      </w:pBdr>
      <w:tabs>
        <w:tab w:val="center" w:pos="4153"/>
        <w:tab w:val="right" w:pos="8306"/>
      </w:tabs>
      <w:snapToGrid w:val="0"/>
      <w:jc w:val="center"/>
    </w:pPr>
    <w:rPr>
      <w:sz w:val="18"/>
      <w:szCs w:val="18"/>
    </w:rPr>
  </w:style>
  <w:style w:type="paragraph" w:styleId="11">
    <w:name w:val="toc 1"/>
    <w:basedOn w:val="1"/>
    <w:next w:val="1"/>
    <w:qFormat/>
    <w:uiPriority w:val="39"/>
    <w:rPr>
      <w:rFonts w:eastAsia="华文楷体"/>
      <w:b/>
      <w:sz w:val="32"/>
    </w:rPr>
  </w:style>
  <w:style w:type="paragraph" w:styleId="12">
    <w:name w:val="toc 2"/>
    <w:basedOn w:val="1"/>
    <w:next w:val="1"/>
    <w:qFormat/>
    <w:uiPriority w:val="39"/>
    <w:pPr>
      <w:ind w:left="420" w:leftChars="200"/>
    </w:pPr>
    <w:rPr>
      <w:rFonts w:eastAsia="仿宋_GB2312"/>
      <w:sz w:val="30"/>
    </w:rPr>
  </w:style>
  <w:style w:type="paragraph" w:styleId="13">
    <w:name w:val="Normal (Web)"/>
    <w:basedOn w:val="1"/>
    <w:qFormat/>
    <w:uiPriority w:val="0"/>
    <w:rPr>
      <w:sz w:val="24"/>
    </w:rPr>
  </w:style>
  <w:style w:type="table" w:styleId="15">
    <w:name w:val="Table Grid"/>
    <w:basedOn w:val="1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Strong"/>
    <w:basedOn w:val="16"/>
    <w:qFormat/>
    <w:uiPriority w:val="0"/>
    <w:rPr>
      <w:b/>
    </w:rPr>
  </w:style>
  <w:style w:type="character" w:styleId="18">
    <w:name w:val="Emphasis"/>
    <w:basedOn w:val="16"/>
    <w:qFormat/>
    <w:uiPriority w:val="0"/>
    <w:rPr>
      <w:i/>
    </w:rPr>
  </w:style>
  <w:style w:type="character" w:styleId="19">
    <w:name w:val="Hyperlink"/>
    <w:basedOn w:val="16"/>
    <w:qFormat/>
    <w:uiPriority w:val="99"/>
    <w:rPr>
      <w:color w:val="0000FF"/>
      <w:u w:val="single"/>
    </w:rPr>
  </w:style>
  <w:style w:type="paragraph" w:customStyle="1" w:styleId="20">
    <w:name w:val="一级标题"/>
    <w:basedOn w:val="3"/>
    <w:next w:val="21"/>
    <w:qFormat/>
    <w:uiPriority w:val="0"/>
    <w:pPr>
      <w:keepNext/>
      <w:keepLines/>
      <w:adjustRightInd w:val="0"/>
      <w:snapToGrid w:val="0"/>
      <w:spacing w:beforeAutospacing="0" w:afterAutospacing="0" w:line="600" w:lineRule="exact"/>
      <w:textAlignment w:val="baseline"/>
      <w:outlineLvl w:val="1"/>
    </w:pPr>
    <w:rPr>
      <w:color w:val="000000"/>
      <w:spacing w:val="-2"/>
      <w:sz w:val="32"/>
      <w:szCs w:val="32"/>
    </w:rPr>
  </w:style>
  <w:style w:type="paragraph" w:customStyle="1" w:styleId="21">
    <w:name w:val="二级标题"/>
    <w:basedOn w:val="4"/>
    <w:next w:val="22"/>
    <w:qFormat/>
    <w:uiPriority w:val="0"/>
    <w:pPr>
      <w:adjustRightInd w:val="0"/>
      <w:snapToGrid w:val="0"/>
      <w:spacing w:line="600" w:lineRule="exact"/>
      <w:outlineLvl w:val="2"/>
    </w:pPr>
    <w:rPr>
      <w:rFonts w:ascii="Calibri" w:hAnsi="Calibri" w:eastAsia="楷体"/>
      <w:bCs/>
      <w:spacing w:val="-2"/>
      <w:szCs w:val="28"/>
    </w:rPr>
  </w:style>
  <w:style w:type="paragraph" w:customStyle="1" w:styleId="22">
    <w:name w:val="建材院正文"/>
    <w:basedOn w:val="1"/>
    <w:qFormat/>
    <w:uiPriority w:val="0"/>
    <w:pPr>
      <w:adjustRightInd w:val="0"/>
      <w:snapToGrid w:val="0"/>
      <w:spacing w:line="600" w:lineRule="exact"/>
      <w:ind w:firstLine="883" w:firstLineChars="200"/>
    </w:pPr>
    <w:rPr>
      <w:rFonts w:hint="eastAsia" w:ascii="宋体" w:hAnsi="宋体" w:eastAsia="仿宋"/>
      <w:bCs/>
      <w:color w:val="000000" w:themeColor="text1"/>
      <w:sz w:val="28"/>
      <w:szCs w:val="32"/>
      <w14:textFill>
        <w14:solidFill>
          <w14:schemeClr w14:val="tx1"/>
        </w14:solidFill>
      </w14:textFill>
    </w:rPr>
  </w:style>
  <w:style w:type="paragraph" w:customStyle="1" w:styleId="23">
    <w:name w:val="建材院一级标题"/>
    <w:basedOn w:val="1"/>
    <w:qFormat/>
    <w:uiPriority w:val="0"/>
    <w:pPr>
      <w:keepNext/>
      <w:keepLines/>
      <w:tabs>
        <w:tab w:val="left" w:pos="3686"/>
      </w:tabs>
      <w:adjustRightInd w:val="0"/>
      <w:spacing w:line="600" w:lineRule="exact"/>
      <w:jc w:val="left"/>
      <w:textAlignment w:val="baseline"/>
      <w:outlineLvl w:val="1"/>
    </w:pPr>
    <w:rPr>
      <w:rFonts w:hint="eastAsia" w:ascii="Times New Roman" w:hAnsi="Times New Roman" w:eastAsia="黑体"/>
      <w:b/>
      <w:bCs/>
      <w:kern w:val="0"/>
      <w:sz w:val="32"/>
      <w:szCs w:val="21"/>
    </w:rPr>
  </w:style>
  <w:style w:type="paragraph" w:customStyle="1" w:styleId="24">
    <w:name w:val="建材院二级标题"/>
    <w:basedOn w:val="4"/>
    <w:next w:val="22"/>
    <w:qFormat/>
    <w:uiPriority w:val="0"/>
    <w:pPr>
      <w:adjustRightInd w:val="0"/>
      <w:snapToGrid w:val="0"/>
      <w:spacing w:line="600" w:lineRule="exact"/>
      <w:outlineLvl w:val="2"/>
    </w:pPr>
    <w:rPr>
      <w:rFonts w:ascii="Calibri" w:hAnsi="Calibri" w:eastAsia="楷体"/>
      <w:bCs/>
      <w:spacing w:val="-2"/>
      <w:szCs w:val="28"/>
    </w:rPr>
  </w:style>
  <w:style w:type="paragraph" w:customStyle="1" w:styleId="25">
    <w:name w:val="建材院表格样式"/>
    <w:basedOn w:val="1"/>
    <w:qFormat/>
    <w:uiPriority w:val="0"/>
    <w:pPr>
      <w:adjustRightInd w:val="0"/>
      <w:snapToGrid w:val="0"/>
      <w:spacing w:line="600" w:lineRule="exact"/>
    </w:pPr>
    <w:rPr>
      <w:rFonts w:hint="eastAsia" w:ascii="仿宋" w:hAnsi="仿宋" w:eastAsia="仿宋"/>
      <w:sz w:val="28"/>
      <w:szCs w:val="28"/>
    </w:rPr>
  </w:style>
  <w:style w:type="character" w:customStyle="1" w:styleId="26">
    <w:name w:val="批注文字 Char"/>
    <w:basedOn w:val="16"/>
    <w:link w:val="6"/>
    <w:qFormat/>
    <w:uiPriority w:val="0"/>
    <w:rPr>
      <w:rFonts w:asciiTheme="minorHAnsi" w:hAnsiTheme="minorHAnsi" w:eastAsiaTheme="minorEastAsia" w:cstheme="minorBidi"/>
      <w:kern w:val="2"/>
      <w:sz w:val="21"/>
      <w:szCs w:val="24"/>
    </w:rPr>
  </w:style>
  <w:style w:type="paragraph" w:customStyle="1" w:styleId="27">
    <w:name w:val="修订1"/>
    <w:hidden/>
    <w:unhideWhenUsed/>
    <w:qFormat/>
    <w:uiPriority w:val="99"/>
    <w:rPr>
      <w:rFonts w:ascii="Calibri" w:hAnsi="Calibri" w:eastAsia="宋体" w:cs="Times New Roman"/>
      <w:kern w:val="2"/>
      <w:sz w:val="21"/>
      <w:szCs w:val="22"/>
      <w:lang w:val="en-US" w:eastAsia="zh-CN" w:bidi="ar-SA"/>
    </w:rPr>
  </w:style>
  <w:style w:type="character" w:customStyle="1" w:styleId="28">
    <w:name w:val="批注框文本 Char"/>
    <w:basedOn w:val="16"/>
    <w:link w:val="8"/>
    <w:qFormat/>
    <w:uiPriority w:val="0"/>
    <w:rPr>
      <w:rFonts w:ascii="Calibri" w:hAnsi="Calibri"/>
      <w:kern w:val="2"/>
      <w:sz w:val="18"/>
      <w:szCs w:val="18"/>
    </w:rPr>
  </w:style>
  <w:style w:type="character" w:customStyle="1" w:styleId="29">
    <w:name w:val="页眉 Char"/>
    <w:basedOn w:val="16"/>
    <w:link w:val="10"/>
    <w:qFormat/>
    <w:uiPriority w:val="0"/>
    <w:rPr>
      <w:rFonts w:ascii="Calibri" w:hAnsi="Calibri"/>
      <w:kern w:val="2"/>
      <w:sz w:val="18"/>
      <w:szCs w:val="18"/>
    </w:rPr>
  </w:style>
  <w:style w:type="character" w:customStyle="1" w:styleId="30">
    <w:name w:val="页脚 Char"/>
    <w:basedOn w:val="16"/>
    <w:link w:val="9"/>
    <w:qFormat/>
    <w:uiPriority w:val="99"/>
    <w:rPr>
      <w:kern w:val="2"/>
      <w:sz w:val="18"/>
      <w:szCs w:val="18"/>
    </w:rPr>
  </w:style>
  <w:style w:type="paragraph" w:customStyle="1" w:styleId="31">
    <w:name w:val="TOC 标题1"/>
    <w:basedOn w:val="3"/>
    <w:next w:val="1"/>
    <w:semiHidden/>
    <w:unhideWhenUsed/>
    <w:qFormat/>
    <w:uiPriority w:val="39"/>
    <w:pPr>
      <w:keepNext/>
      <w:keepLines/>
      <w:widowControl/>
      <w:spacing w:before="480" w:beforeAutospacing="0" w:afterAutospacing="0" w:line="276" w:lineRule="auto"/>
      <w:outlineLvl w:val="9"/>
    </w:pPr>
    <w:rPr>
      <w:rFonts w:hint="default" w:asciiTheme="majorHAnsi" w:hAnsiTheme="majorHAnsi" w:eastAsiaTheme="majorEastAsia" w:cstheme="majorBidi"/>
      <w:color w:val="2E75B6" w:themeColor="accent1" w:themeShade="BF"/>
      <w:kern w:val="0"/>
      <w:sz w:val="28"/>
      <w:szCs w:val="28"/>
    </w:rPr>
  </w:style>
  <w:style w:type="character" w:customStyle="1" w:styleId="32">
    <w:name w:val="font21"/>
    <w:qFormat/>
    <w:uiPriority w:val="0"/>
    <w:rPr>
      <w:rFonts w:hint="default" w:ascii="Times New Roman" w:hAnsi="Times New Roman" w:cs="Times New Roman"/>
      <w:color w:val="000000"/>
      <w:sz w:val="24"/>
      <w:szCs w:val="24"/>
      <w:u w:val="none"/>
    </w:rPr>
  </w:style>
  <w:style w:type="paragraph" w:customStyle="1" w:styleId="33">
    <w:name w:val="NormalIndent"/>
    <w:link w:val="36"/>
    <w:qFormat/>
    <w:uiPriority w:val="0"/>
    <w:pPr>
      <w:widowControl w:val="0"/>
      <w:ind w:firstLine="420" w:firstLineChars="200"/>
      <w:jc w:val="both"/>
      <w:textAlignment w:val="baseline"/>
    </w:pPr>
    <w:rPr>
      <w:rFonts w:ascii="Times New Roman" w:hAnsi="Times New Roman" w:eastAsia="宋体" w:cs="Times New Roman"/>
      <w:kern w:val="2"/>
      <w:sz w:val="21"/>
      <w:szCs w:val="24"/>
      <w:lang w:val="en-US" w:eastAsia="zh-CN" w:bidi="ar-SA"/>
    </w:rPr>
  </w:style>
  <w:style w:type="paragraph" w:customStyle="1" w:styleId="34">
    <w:name w:val="WPSOffice手动目录 1"/>
    <w:link w:val="37"/>
    <w:qFormat/>
    <w:uiPriority w:val="0"/>
    <w:rPr>
      <w:rFonts w:ascii="Times New Roman" w:hAnsi="Times New Roman" w:eastAsia="新宋体" w:cs="Times New Roman"/>
      <w:b/>
      <w:sz w:val="32"/>
      <w:lang w:val="en-US" w:eastAsia="zh-CN" w:bidi="ar-SA"/>
    </w:rPr>
  </w:style>
  <w:style w:type="paragraph" w:customStyle="1" w:styleId="35">
    <w:name w:val="WPSOffice手动目录 2"/>
    <w:qFormat/>
    <w:uiPriority w:val="0"/>
    <w:pPr>
      <w:ind w:left="200" w:leftChars="200"/>
    </w:pPr>
    <w:rPr>
      <w:rFonts w:ascii="Times New Roman" w:hAnsi="Times New Roman" w:eastAsia="楷体" w:cs="Times New Roman"/>
      <w:sz w:val="30"/>
      <w:lang w:val="en-US" w:eastAsia="zh-CN" w:bidi="ar-SA"/>
    </w:rPr>
  </w:style>
  <w:style w:type="character" w:customStyle="1" w:styleId="36">
    <w:name w:val="NormalIndent Char"/>
    <w:link w:val="33"/>
    <w:qFormat/>
    <w:uiPriority w:val="0"/>
    <w:rPr>
      <w:rFonts w:ascii="Times New Roman" w:hAnsi="Times New Roman" w:eastAsia="宋体" w:cs="Times New Roman"/>
      <w:kern w:val="2"/>
      <w:sz w:val="21"/>
      <w:szCs w:val="24"/>
      <w:lang w:val="en-US" w:eastAsia="zh-CN" w:bidi="ar-SA"/>
    </w:rPr>
  </w:style>
  <w:style w:type="character" w:customStyle="1" w:styleId="37">
    <w:name w:val="WPSOffice手动目录 1 Char"/>
    <w:link w:val="34"/>
    <w:qFormat/>
    <w:uiPriority w:val="0"/>
    <w:rPr>
      <w:rFonts w:ascii="Times New Roman" w:hAnsi="Times New Roman" w:eastAsia="新宋体"/>
      <w:b/>
      <w:sz w:val="32"/>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ISO690.XSL" StyleName="ISO 690 - First Element and Dat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B284FE3-147F-476A-83E6-28810B86BEFF}">
  <ds:schemaRefs/>
</ds:datastoreItem>
</file>

<file path=docProps/app.xml><?xml version="1.0" encoding="utf-8"?>
<Properties xmlns="http://schemas.openxmlformats.org/officeDocument/2006/extended-properties" xmlns:vt="http://schemas.openxmlformats.org/officeDocument/2006/docPropsVTypes">
  <Template>Normal</Template>
  <Pages>61</Pages>
  <Words>28053</Words>
  <Characters>29643</Characters>
  <Lines>240</Lines>
  <Paragraphs>67</Paragraphs>
  <TotalTime>50</TotalTime>
  <ScaleCrop>false</ScaleCrop>
  <LinksUpToDate>false</LinksUpToDate>
  <CharactersWithSpaces>29802</CharactersWithSpaces>
  <Application>WPS Office_11.8.2.9022_F1E327BC-269C-435d-A152-05C5408002CA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2022-07-25T12:43:00Z</dcterms:created>
  <dc:creator>Administrator</dc:creator>
  <cp:lastModifiedBy>GXJ</cp:lastModifiedBy>
  <cp:lastPrinted>2022-08-23T15:15:00Z</cp:lastPrinted>
  <dcterms:modified xsi:type="dcterms:W3CDTF">2022-09-02T03:35:32Z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y fmtid="{D5CDD505-2E9C-101B-9397-08002B2CF9AE}" pid="3" name="ICV">
    <vt:lpwstr>F1C7D9E0E7E046F1943E089277500D9F</vt:lpwstr>
  </property>
</Properties>
</file>