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912" w:rsidRDefault="00FE7708">
      <w:pPr>
        <w:rPr>
          <w:rFonts w:ascii="Times New Roman" w:hAnsi="Times New Roman"/>
        </w:rPr>
      </w:pPr>
      <w:r>
        <w:rPr>
          <w:rFonts w:ascii="Times New Roman" w:hAnsi="Times New Roman"/>
        </w:rPr>
        <w:t>·</w:t>
      </w:r>
    </w:p>
    <w:bookmarkStart w:id="0" w:name="_Toc22321" w:displacedByCustomXml="next"/>
    <w:sdt>
      <w:sdtPr>
        <w:rPr>
          <w:rFonts w:ascii="Times New Roman" w:hAnsi="Times New Roman"/>
          <w:lang w:val="zh-CN"/>
        </w:rPr>
        <w:id w:val="973413329"/>
        <w:docPartObj>
          <w:docPartGallery w:val="Table of Contents"/>
          <w:docPartUnique/>
        </w:docPartObj>
      </w:sdtPr>
      <w:sdtContent>
        <w:p w:rsidR="00D74912" w:rsidRDefault="00D74912">
          <w:pPr>
            <w:rPr>
              <w:rFonts w:ascii="Times New Roman" w:hAnsi="Times New Roman"/>
            </w:rPr>
          </w:pPr>
        </w:p>
        <w:p w:rsidR="00D74912" w:rsidRDefault="007318F7">
          <w:pPr>
            <w:rPr>
              <w:rFonts w:ascii="Times New Roman" w:hAnsi="Times New Roman"/>
            </w:rPr>
          </w:pPr>
        </w:p>
      </w:sdtContent>
    </w:sdt>
    <w:p w:rsidR="00D74912" w:rsidRDefault="00D74912">
      <w:pPr>
        <w:widowControl/>
        <w:adjustRightInd w:val="0"/>
        <w:snapToGrid w:val="0"/>
        <w:spacing w:line="720" w:lineRule="exact"/>
        <w:jc w:val="center"/>
        <w:rPr>
          <w:rFonts w:ascii="Times New Roman" w:eastAsia="方正小标宋简体" w:hAnsi="Times New Roman"/>
          <w:kern w:val="0"/>
          <w:sz w:val="44"/>
          <w:szCs w:val="44"/>
        </w:rPr>
      </w:pPr>
    </w:p>
    <w:p w:rsidR="00D74912" w:rsidRDefault="00D74912">
      <w:pPr>
        <w:widowControl/>
        <w:adjustRightInd w:val="0"/>
        <w:snapToGrid w:val="0"/>
        <w:spacing w:line="720" w:lineRule="exact"/>
        <w:jc w:val="center"/>
        <w:rPr>
          <w:rFonts w:ascii="Times New Roman" w:eastAsia="方正小标宋简体" w:hAnsi="Times New Roman"/>
          <w:kern w:val="0"/>
          <w:sz w:val="44"/>
          <w:szCs w:val="44"/>
        </w:rPr>
      </w:pPr>
    </w:p>
    <w:p w:rsidR="00D74912" w:rsidRDefault="00FE7708">
      <w:pPr>
        <w:widowControl/>
        <w:adjustRightInd w:val="0"/>
        <w:snapToGrid w:val="0"/>
        <w:spacing w:line="720" w:lineRule="exact"/>
        <w:jc w:val="center"/>
        <w:rPr>
          <w:rFonts w:ascii="Times New Roman" w:eastAsia="方正大标宋_GBK" w:hAnsi="Times New Roman"/>
          <w:b/>
          <w:bCs/>
          <w:kern w:val="0"/>
          <w:sz w:val="52"/>
          <w:szCs w:val="52"/>
        </w:rPr>
      </w:pPr>
      <w:r>
        <w:rPr>
          <w:rFonts w:ascii="Times New Roman" w:eastAsia="方正大标宋_GBK" w:hAnsi="Times New Roman"/>
          <w:b/>
          <w:bCs/>
          <w:kern w:val="0"/>
          <w:sz w:val="52"/>
          <w:szCs w:val="52"/>
        </w:rPr>
        <w:t>钦州市预拌混凝土、预拌砂浆</w:t>
      </w:r>
    </w:p>
    <w:p w:rsidR="00D74912" w:rsidRDefault="00FE7708">
      <w:pPr>
        <w:widowControl/>
        <w:adjustRightInd w:val="0"/>
        <w:snapToGrid w:val="0"/>
        <w:spacing w:line="360" w:lineRule="auto"/>
        <w:jc w:val="center"/>
        <w:rPr>
          <w:rFonts w:ascii="Times New Roman" w:eastAsia="方正大标宋_GBK" w:hAnsi="Times New Roman"/>
          <w:b/>
          <w:bCs/>
          <w:kern w:val="0"/>
          <w:sz w:val="52"/>
          <w:szCs w:val="52"/>
        </w:rPr>
      </w:pPr>
      <w:r>
        <w:rPr>
          <w:rFonts w:ascii="Times New Roman" w:eastAsia="方正大标宋_GBK" w:hAnsi="Times New Roman"/>
          <w:b/>
          <w:bCs/>
          <w:kern w:val="0"/>
          <w:sz w:val="52"/>
          <w:szCs w:val="52"/>
        </w:rPr>
        <w:t>发展</w:t>
      </w:r>
      <w:r>
        <w:rPr>
          <w:rFonts w:ascii="Times New Roman" w:eastAsia="方正大标宋_GBK" w:hAnsi="Times New Roman"/>
          <w:b/>
          <w:bCs/>
          <w:kern w:val="0"/>
          <w:sz w:val="52"/>
          <w:szCs w:val="52"/>
        </w:rPr>
        <w:t>“</w:t>
      </w:r>
      <w:r>
        <w:rPr>
          <w:rFonts w:ascii="Times New Roman" w:eastAsia="方正大标宋_GBK" w:hAnsi="Times New Roman"/>
          <w:b/>
          <w:bCs/>
          <w:kern w:val="0"/>
          <w:sz w:val="52"/>
          <w:szCs w:val="52"/>
        </w:rPr>
        <w:t>十四五</w:t>
      </w:r>
      <w:r>
        <w:rPr>
          <w:rFonts w:ascii="Times New Roman" w:eastAsia="方正大标宋_GBK" w:hAnsi="Times New Roman"/>
          <w:b/>
          <w:bCs/>
          <w:kern w:val="0"/>
          <w:sz w:val="52"/>
          <w:szCs w:val="52"/>
        </w:rPr>
        <w:t>”</w:t>
      </w:r>
      <w:r>
        <w:rPr>
          <w:rFonts w:ascii="Times New Roman" w:eastAsia="方正大标宋_GBK" w:hAnsi="Times New Roman"/>
          <w:b/>
          <w:bCs/>
          <w:kern w:val="0"/>
          <w:sz w:val="52"/>
          <w:szCs w:val="52"/>
        </w:rPr>
        <w:t>规划</w:t>
      </w:r>
    </w:p>
    <w:p w:rsidR="00D74912" w:rsidRDefault="00FE7708">
      <w:pPr>
        <w:widowControl/>
        <w:adjustRightInd w:val="0"/>
        <w:snapToGrid w:val="0"/>
        <w:spacing w:line="360" w:lineRule="auto"/>
        <w:jc w:val="center"/>
        <w:rPr>
          <w:rFonts w:ascii="Times New Roman" w:eastAsia="方正小标宋简体" w:hAnsi="Times New Roman"/>
          <w:sz w:val="36"/>
          <w:szCs w:val="36"/>
        </w:rPr>
      </w:pPr>
      <w:r>
        <w:rPr>
          <w:rFonts w:ascii="Times New Roman" w:eastAsia="方正小标宋简体" w:hAnsi="Times New Roman"/>
          <w:kern w:val="0"/>
          <w:sz w:val="36"/>
          <w:szCs w:val="36"/>
        </w:rPr>
        <w:t>（初稿）</w:t>
      </w:r>
    </w:p>
    <w:p w:rsidR="00D74912" w:rsidRDefault="00D74912" w:rsidP="00E82BEF">
      <w:pPr>
        <w:widowControl/>
        <w:adjustRightInd w:val="0"/>
        <w:snapToGrid w:val="0"/>
        <w:spacing w:afterLines="100" w:line="360" w:lineRule="auto"/>
        <w:jc w:val="center"/>
        <w:rPr>
          <w:rFonts w:ascii="Times New Roman" w:eastAsia="黑体" w:hAnsi="Times New Roman"/>
          <w:kern w:val="0"/>
          <w:sz w:val="36"/>
          <w:szCs w:val="36"/>
        </w:rPr>
      </w:pPr>
    </w:p>
    <w:p w:rsidR="00D74912" w:rsidRDefault="00D74912">
      <w:pPr>
        <w:pStyle w:val="2"/>
        <w:rPr>
          <w:rFonts w:ascii="Times New Roman" w:eastAsia="黑体" w:hAnsi="Times New Roman"/>
          <w:kern w:val="0"/>
          <w:sz w:val="36"/>
          <w:szCs w:val="36"/>
        </w:rPr>
      </w:pPr>
    </w:p>
    <w:p w:rsidR="00D74912" w:rsidRDefault="00D74912">
      <w:pPr>
        <w:pStyle w:val="2"/>
        <w:rPr>
          <w:rFonts w:ascii="Times New Roman" w:eastAsia="黑体" w:hAnsi="Times New Roman"/>
          <w:kern w:val="0"/>
          <w:sz w:val="36"/>
          <w:szCs w:val="36"/>
        </w:rPr>
      </w:pPr>
    </w:p>
    <w:p w:rsidR="00D74912" w:rsidRDefault="00D74912">
      <w:pPr>
        <w:pStyle w:val="2"/>
        <w:rPr>
          <w:rFonts w:ascii="Times New Roman" w:eastAsia="黑体" w:hAnsi="Times New Roman"/>
          <w:kern w:val="0"/>
          <w:sz w:val="36"/>
          <w:szCs w:val="36"/>
        </w:rPr>
      </w:pPr>
    </w:p>
    <w:p w:rsidR="00D74912" w:rsidRDefault="00D74912">
      <w:pPr>
        <w:pStyle w:val="2"/>
        <w:rPr>
          <w:rFonts w:ascii="Times New Roman" w:eastAsia="黑体" w:hAnsi="Times New Roman"/>
          <w:kern w:val="0"/>
          <w:sz w:val="36"/>
          <w:szCs w:val="36"/>
        </w:rPr>
      </w:pPr>
    </w:p>
    <w:p w:rsidR="00D74912" w:rsidRDefault="00D74912">
      <w:pPr>
        <w:pStyle w:val="2"/>
        <w:rPr>
          <w:rFonts w:ascii="Times New Roman" w:eastAsia="黑体" w:hAnsi="Times New Roman"/>
          <w:kern w:val="0"/>
          <w:sz w:val="36"/>
          <w:szCs w:val="36"/>
        </w:rPr>
      </w:pPr>
    </w:p>
    <w:p w:rsidR="00D74912" w:rsidRDefault="00D74912">
      <w:pPr>
        <w:pStyle w:val="2"/>
        <w:rPr>
          <w:rFonts w:ascii="Times New Roman" w:eastAsia="黑体" w:hAnsi="Times New Roman"/>
          <w:kern w:val="0"/>
          <w:sz w:val="36"/>
          <w:szCs w:val="36"/>
        </w:rPr>
      </w:pPr>
    </w:p>
    <w:p w:rsidR="00D74912" w:rsidRDefault="00FE7708">
      <w:pPr>
        <w:pStyle w:val="2"/>
        <w:rPr>
          <w:rFonts w:ascii="Times New Roman" w:eastAsia="黑体" w:hAnsi="Times New Roman"/>
          <w:kern w:val="0"/>
          <w:sz w:val="36"/>
          <w:szCs w:val="36"/>
        </w:rPr>
      </w:pPr>
      <w:r>
        <w:rPr>
          <w:rFonts w:ascii="Times New Roman" w:eastAsia="黑体" w:hAnsi="Times New Roman"/>
          <w:kern w:val="0"/>
          <w:sz w:val="36"/>
          <w:szCs w:val="36"/>
        </w:rPr>
        <w:t>组织单位：钦州市工业和信息化局</w:t>
      </w:r>
    </w:p>
    <w:p w:rsidR="00D74912" w:rsidRDefault="00FE7708">
      <w:pPr>
        <w:pStyle w:val="2"/>
        <w:rPr>
          <w:rFonts w:ascii="Times New Roman" w:eastAsia="黑体" w:hAnsi="Times New Roman"/>
          <w:kern w:val="0"/>
          <w:sz w:val="36"/>
          <w:szCs w:val="36"/>
        </w:rPr>
      </w:pPr>
      <w:r>
        <w:rPr>
          <w:rFonts w:ascii="Times New Roman" w:eastAsia="黑体" w:hAnsi="Times New Roman"/>
          <w:kern w:val="0"/>
          <w:sz w:val="36"/>
          <w:szCs w:val="36"/>
        </w:rPr>
        <w:t>编制单位：广西建筑材料科学研究设计院有限公司</w:t>
      </w:r>
    </w:p>
    <w:p w:rsidR="00D74912" w:rsidRDefault="00FE7708">
      <w:pPr>
        <w:pStyle w:val="2"/>
        <w:rPr>
          <w:rFonts w:ascii="Times New Roman" w:eastAsia="黑体" w:hAnsi="Times New Roman"/>
          <w:kern w:val="0"/>
          <w:sz w:val="36"/>
          <w:szCs w:val="36"/>
        </w:rPr>
        <w:sectPr w:rsidR="00D74912">
          <w:footerReference w:type="default" r:id="rId9"/>
          <w:pgSz w:w="11906" w:h="16838"/>
          <w:pgMar w:top="1440" w:right="1800" w:bottom="1440" w:left="1800" w:header="851" w:footer="992" w:gutter="0"/>
          <w:pgNumType w:start="1"/>
          <w:cols w:space="425"/>
          <w:docGrid w:type="lines" w:linePitch="312"/>
        </w:sectPr>
      </w:pPr>
      <w:r>
        <w:rPr>
          <w:rFonts w:ascii="Times New Roman" w:eastAsia="黑体" w:hAnsi="Times New Roman"/>
          <w:kern w:val="0"/>
          <w:sz w:val="36"/>
          <w:szCs w:val="36"/>
        </w:rPr>
        <w:t>编制日期：</w:t>
      </w:r>
      <w:r>
        <w:rPr>
          <w:rFonts w:ascii="Times New Roman" w:eastAsia="黑体" w:hAnsi="Times New Roman"/>
          <w:kern w:val="0"/>
          <w:sz w:val="36"/>
          <w:szCs w:val="36"/>
        </w:rPr>
        <w:t>2021</w:t>
      </w:r>
      <w:r>
        <w:rPr>
          <w:rFonts w:ascii="Times New Roman" w:eastAsia="黑体" w:hAnsi="Times New Roman"/>
          <w:kern w:val="0"/>
          <w:sz w:val="36"/>
          <w:szCs w:val="36"/>
        </w:rPr>
        <w:t>年</w:t>
      </w:r>
      <w:r>
        <w:rPr>
          <w:rFonts w:ascii="Times New Roman" w:eastAsia="黑体" w:hAnsi="Times New Roman"/>
          <w:kern w:val="0"/>
          <w:sz w:val="36"/>
          <w:szCs w:val="36"/>
        </w:rPr>
        <w:t>12</w:t>
      </w:r>
      <w:r>
        <w:rPr>
          <w:rFonts w:ascii="Times New Roman" w:eastAsia="黑体" w:hAnsi="Times New Roman" w:hint="eastAsia"/>
          <w:kern w:val="0"/>
          <w:sz w:val="36"/>
          <w:szCs w:val="36"/>
        </w:rPr>
        <w:t>月</w:t>
      </w:r>
    </w:p>
    <w:bookmarkStart w:id="1" w:name="_Toc19435" w:displacedByCustomXml="next"/>
    <w:bookmarkStart w:id="2" w:name="_Toc18491" w:displacedByCustomXml="next"/>
    <w:bookmarkStart w:id="3" w:name="_Toc25253" w:displacedByCustomXml="next"/>
    <w:bookmarkStart w:id="4" w:name="_Toc12171" w:displacedByCustomXml="next"/>
    <w:bookmarkStart w:id="5" w:name="_Toc18624" w:displacedByCustomXml="next"/>
    <w:bookmarkStart w:id="6" w:name="_Toc6399" w:displacedByCustomXml="next"/>
    <w:bookmarkStart w:id="7" w:name="_Toc7535" w:displacedByCustomXml="next"/>
    <w:bookmarkStart w:id="8" w:name="_Toc10018" w:displacedByCustomXml="next"/>
    <w:bookmarkStart w:id="9" w:name="_Toc12235" w:displacedByCustomXml="next"/>
    <w:bookmarkStart w:id="10" w:name="_Toc89203765" w:displacedByCustomXml="next"/>
    <w:bookmarkStart w:id="11" w:name="_Toc14096" w:displacedByCustomXml="next"/>
    <w:sdt>
      <w:sdtPr>
        <w:rPr>
          <w:rFonts w:ascii="Times New Roman" w:hAnsi="Times New Roman"/>
          <w:szCs w:val="24"/>
        </w:rPr>
        <w:id w:val="147475700"/>
        <w:docPartObj>
          <w:docPartGallery w:val="Table of Contents"/>
          <w:docPartUnique/>
        </w:docPartObj>
      </w:sdtPr>
      <w:sdtEndPr>
        <w:rPr>
          <w:b/>
        </w:rPr>
      </w:sdtEndPr>
      <w:sdtContent>
        <w:p w:rsidR="00D74912" w:rsidRDefault="00FE7708">
          <w:pPr>
            <w:jc w:val="center"/>
            <w:rPr>
              <w:rFonts w:ascii="Times New Roman" w:eastAsia="黑体" w:hAnsi="Times New Roman"/>
              <w:b/>
              <w:bCs/>
              <w:sz w:val="36"/>
              <w:szCs w:val="36"/>
            </w:rPr>
          </w:pPr>
          <w:r>
            <w:rPr>
              <w:rFonts w:ascii="Times New Roman" w:eastAsia="黑体" w:hAnsi="Times New Roman"/>
              <w:b/>
              <w:bCs/>
              <w:sz w:val="36"/>
              <w:szCs w:val="36"/>
            </w:rPr>
            <w:t>目录</w:t>
          </w:r>
        </w:p>
        <w:p w:rsidR="00D74912" w:rsidRDefault="007318F7">
          <w:pPr>
            <w:pStyle w:val="10"/>
            <w:tabs>
              <w:tab w:val="right" w:leader="dot" w:pos="8306"/>
            </w:tabs>
            <w:rPr>
              <w:rFonts w:ascii="Times New Roman" w:hAnsi="Times New Roman"/>
            </w:rPr>
          </w:pPr>
          <w:r w:rsidRPr="007318F7">
            <w:rPr>
              <w:rFonts w:ascii="Times New Roman" w:hAnsi="Times New Roman"/>
            </w:rPr>
            <w:fldChar w:fldCharType="begin"/>
          </w:r>
          <w:r w:rsidR="00FE7708">
            <w:rPr>
              <w:rFonts w:ascii="Times New Roman" w:hAnsi="Times New Roman"/>
            </w:rPr>
            <w:instrText xml:space="preserve">TOC \o "1-2" \h \u </w:instrText>
          </w:r>
          <w:r w:rsidRPr="007318F7">
            <w:rPr>
              <w:rFonts w:ascii="Times New Roman" w:hAnsi="Times New Roman"/>
            </w:rPr>
            <w:fldChar w:fldCharType="separate"/>
          </w:r>
          <w:hyperlink w:anchor="_Toc6240" w:history="1">
            <w:r w:rsidR="00FE7708">
              <w:rPr>
                <w:rFonts w:ascii="Times New Roman" w:eastAsia="方正楷体_GB2312" w:hAnsi="Times New Roman"/>
                <w:kern w:val="0"/>
                <w:szCs w:val="36"/>
              </w:rPr>
              <w:t>前</w:t>
            </w:r>
            <w:r w:rsidR="00FE7708">
              <w:rPr>
                <w:rFonts w:ascii="Times New Roman" w:eastAsia="方正楷体_GB2312" w:hAnsi="Times New Roman"/>
                <w:kern w:val="0"/>
                <w:szCs w:val="36"/>
              </w:rPr>
              <w:t xml:space="preserve"> </w:t>
            </w:r>
            <w:r w:rsidR="00FE7708">
              <w:rPr>
                <w:rFonts w:ascii="Times New Roman" w:eastAsia="方正楷体_GB2312" w:hAnsi="Times New Roman"/>
                <w:kern w:val="0"/>
                <w:szCs w:val="36"/>
              </w:rPr>
              <w:t>言</w:t>
            </w:r>
            <w:r w:rsidR="00FE7708">
              <w:rPr>
                <w:rFonts w:ascii="Times New Roman" w:eastAsia="方正楷体_GB2312" w:hAnsi="Times New Roman"/>
              </w:rPr>
              <w:tab/>
            </w:r>
            <w:r>
              <w:rPr>
                <w:rFonts w:ascii="Times New Roman" w:eastAsia="方正楷体_GB2312" w:hAnsi="Times New Roman"/>
              </w:rPr>
              <w:fldChar w:fldCharType="begin"/>
            </w:r>
            <w:r w:rsidR="00FE7708">
              <w:rPr>
                <w:rFonts w:ascii="Times New Roman" w:eastAsia="方正楷体_GB2312" w:hAnsi="Times New Roman"/>
              </w:rPr>
              <w:instrText xml:space="preserve"> PAGEREF _Toc6240 \h </w:instrText>
            </w:r>
            <w:r>
              <w:rPr>
                <w:rFonts w:ascii="Times New Roman" w:eastAsia="方正楷体_GB2312" w:hAnsi="Times New Roman"/>
              </w:rPr>
            </w:r>
            <w:r>
              <w:rPr>
                <w:rFonts w:ascii="Times New Roman" w:eastAsia="方正楷体_GB2312" w:hAnsi="Times New Roman"/>
              </w:rPr>
              <w:fldChar w:fldCharType="separate"/>
            </w:r>
            <w:r w:rsidR="00FE7708">
              <w:rPr>
                <w:rFonts w:ascii="Times New Roman" w:eastAsia="方正楷体_GB2312" w:hAnsi="Times New Roman"/>
              </w:rPr>
              <w:t>1</w:t>
            </w:r>
            <w:r>
              <w:rPr>
                <w:rFonts w:ascii="Times New Roman" w:eastAsia="方正楷体_GB2312" w:hAnsi="Times New Roman"/>
              </w:rPr>
              <w:fldChar w:fldCharType="end"/>
            </w:r>
          </w:hyperlink>
        </w:p>
        <w:p w:rsidR="00D74912" w:rsidRDefault="007318F7">
          <w:pPr>
            <w:pStyle w:val="10"/>
            <w:tabs>
              <w:tab w:val="right" w:leader="dot" w:pos="8306"/>
            </w:tabs>
            <w:rPr>
              <w:rFonts w:ascii="Times New Roman" w:hAnsi="Times New Roman"/>
            </w:rPr>
          </w:pPr>
          <w:hyperlink w:anchor="_Toc19908" w:history="1">
            <w:r w:rsidR="00FE7708">
              <w:rPr>
                <w:rFonts w:ascii="Times New Roman" w:eastAsia="方正楷体_GB2312" w:hAnsi="Times New Roman"/>
              </w:rPr>
              <w:t>第一章</w:t>
            </w:r>
            <w:r w:rsidR="00FE7708">
              <w:rPr>
                <w:rFonts w:ascii="Times New Roman" w:eastAsia="方正楷体_GB2312" w:hAnsi="Times New Roman"/>
              </w:rPr>
              <w:t xml:space="preserve"> </w:t>
            </w:r>
            <w:r w:rsidR="00FE7708">
              <w:rPr>
                <w:rFonts w:ascii="Times New Roman" w:eastAsia="方正楷体_GB2312" w:hAnsi="Times New Roman"/>
              </w:rPr>
              <w:t>发展基础</w:t>
            </w:r>
            <w:r w:rsidR="00FE7708">
              <w:rPr>
                <w:rFonts w:ascii="Times New Roman" w:hAnsi="Times New Roman"/>
              </w:rPr>
              <w:tab/>
            </w:r>
            <w:r>
              <w:rPr>
                <w:rFonts w:ascii="Times New Roman" w:hAnsi="Times New Roman"/>
              </w:rPr>
              <w:fldChar w:fldCharType="begin"/>
            </w:r>
            <w:r w:rsidR="00FE7708">
              <w:rPr>
                <w:rFonts w:ascii="Times New Roman" w:hAnsi="Times New Roman"/>
              </w:rPr>
              <w:instrText xml:space="preserve"> PAGEREF _Toc19908 \h </w:instrText>
            </w:r>
            <w:r>
              <w:rPr>
                <w:rFonts w:ascii="Times New Roman" w:hAnsi="Times New Roman"/>
              </w:rPr>
            </w:r>
            <w:r>
              <w:rPr>
                <w:rFonts w:ascii="Times New Roman" w:hAnsi="Times New Roman"/>
              </w:rPr>
              <w:fldChar w:fldCharType="separate"/>
            </w:r>
            <w:r w:rsidR="00FE7708">
              <w:rPr>
                <w:rFonts w:ascii="Times New Roman" w:hAnsi="Times New Roman"/>
              </w:rPr>
              <w:t>2</w:t>
            </w:r>
            <w:r>
              <w:rPr>
                <w:rFonts w:ascii="Times New Roman"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517" w:history="1">
            <w:r w:rsidR="00FE7708">
              <w:rPr>
                <w:rFonts w:ascii="Times New Roman" w:eastAsia="方正仿宋_GB2312" w:hAnsi="Times New Roman"/>
              </w:rPr>
              <w:t>一、行业现状</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_Toc1517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27425" w:history="1">
            <w:r w:rsidR="00FE7708">
              <w:rPr>
                <w:rFonts w:ascii="Times New Roman" w:eastAsia="方正仿宋_GB2312" w:hAnsi="Times New Roman"/>
              </w:rPr>
              <w:t>二、发展成效</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_Toc27425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8</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hAnsi="Times New Roman"/>
            </w:rPr>
          </w:pPr>
          <w:hyperlink w:anchor="_Toc3690" w:history="1">
            <w:r w:rsidR="00FE7708">
              <w:rPr>
                <w:rFonts w:ascii="Times New Roman" w:eastAsia="方正仿宋_GB2312" w:hAnsi="Times New Roman"/>
              </w:rPr>
              <w:t>三、存在的问题</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_Toc3690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9</w:t>
            </w:r>
            <w:r>
              <w:rPr>
                <w:rFonts w:ascii="Times New Roman" w:eastAsia="方正仿宋_GB2312" w:hAnsi="Times New Roman"/>
              </w:rPr>
              <w:fldChar w:fldCharType="end"/>
            </w:r>
          </w:hyperlink>
        </w:p>
        <w:p w:rsidR="00D74912" w:rsidRDefault="007318F7">
          <w:pPr>
            <w:pStyle w:val="10"/>
            <w:tabs>
              <w:tab w:val="right" w:leader="dot" w:pos="8306"/>
            </w:tabs>
            <w:rPr>
              <w:rFonts w:ascii="Times New Roman" w:hAnsi="Times New Roman"/>
            </w:rPr>
          </w:pPr>
          <w:hyperlink w:anchor="_Toc30735" w:history="1">
            <w:r w:rsidR="00FE7708">
              <w:rPr>
                <w:rFonts w:ascii="Times New Roman" w:eastAsia="方正楷体_GB2312" w:hAnsi="Times New Roman"/>
              </w:rPr>
              <w:t>第二章</w:t>
            </w:r>
            <w:r w:rsidR="00FE7708">
              <w:rPr>
                <w:rFonts w:ascii="Times New Roman" w:eastAsia="方正楷体_GB2312" w:hAnsi="Times New Roman"/>
              </w:rPr>
              <w:t xml:space="preserve"> </w:t>
            </w:r>
            <w:r w:rsidR="00FE7708">
              <w:rPr>
                <w:rFonts w:ascii="Times New Roman" w:eastAsia="方正楷体_GB2312" w:hAnsi="Times New Roman"/>
              </w:rPr>
              <w:t>发展环境</w:t>
            </w:r>
            <w:r w:rsidR="00FE7708">
              <w:rPr>
                <w:rFonts w:ascii="Times New Roman" w:hAnsi="Times New Roman"/>
              </w:rPr>
              <w:tab/>
            </w:r>
            <w:r>
              <w:rPr>
                <w:rFonts w:ascii="Times New Roman" w:hAnsi="Times New Roman"/>
              </w:rPr>
              <w:fldChar w:fldCharType="begin"/>
            </w:r>
            <w:r w:rsidR="00FE7708">
              <w:rPr>
                <w:rFonts w:ascii="Times New Roman" w:hAnsi="Times New Roman"/>
              </w:rPr>
              <w:instrText xml:space="preserve"> PAGEREF _Toc30735 \h </w:instrText>
            </w:r>
            <w:r>
              <w:rPr>
                <w:rFonts w:ascii="Times New Roman" w:hAnsi="Times New Roman"/>
              </w:rPr>
            </w:r>
            <w:r>
              <w:rPr>
                <w:rFonts w:ascii="Times New Roman" w:hAnsi="Times New Roman"/>
              </w:rPr>
              <w:fldChar w:fldCharType="separate"/>
            </w:r>
            <w:r w:rsidR="00FE7708">
              <w:rPr>
                <w:rFonts w:ascii="Times New Roman" w:hAnsi="Times New Roman"/>
              </w:rPr>
              <w:t>12</w:t>
            </w:r>
            <w:r>
              <w:rPr>
                <w:rFonts w:ascii="Times New Roman"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7186" w:history="1">
            <w:r w:rsidR="00FE7708">
              <w:rPr>
                <w:rFonts w:ascii="Times New Roman" w:eastAsia="方正仿宋_GB2312" w:hAnsi="Times New Roman"/>
              </w:rPr>
              <w:t>一、发展形势</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_Toc7186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12</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5082" w:history="1">
            <w:r w:rsidR="00FE7708">
              <w:rPr>
                <w:rFonts w:ascii="Times New Roman" w:eastAsia="方正仿宋_GB2312" w:hAnsi="Times New Roman"/>
              </w:rPr>
              <w:t>二、机遇和挑战</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_Toc15082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13</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hAnsi="Times New Roman"/>
            </w:rPr>
          </w:pPr>
          <w:hyperlink w:anchor="_Toc29870" w:history="1">
            <w:r w:rsidR="00FE7708">
              <w:rPr>
                <w:rFonts w:ascii="Times New Roman" w:eastAsia="方正仿宋_GB2312" w:hAnsi="Times New Roman"/>
              </w:rPr>
              <w:t>三、市场需求分析</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_Toc29870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16</w:t>
            </w:r>
            <w:r>
              <w:rPr>
                <w:rFonts w:ascii="Times New Roman" w:eastAsia="方正仿宋_GB2312" w:hAnsi="Times New Roman"/>
              </w:rPr>
              <w:fldChar w:fldCharType="end"/>
            </w:r>
          </w:hyperlink>
        </w:p>
        <w:p w:rsidR="00D74912" w:rsidRDefault="007318F7">
          <w:pPr>
            <w:pStyle w:val="10"/>
            <w:tabs>
              <w:tab w:val="right" w:leader="dot" w:pos="8306"/>
            </w:tabs>
            <w:rPr>
              <w:rFonts w:ascii="Times New Roman" w:hAnsi="Times New Roman"/>
            </w:rPr>
          </w:pPr>
          <w:hyperlink w:anchor="_Toc8106" w:history="1">
            <w:r w:rsidR="00FE7708">
              <w:rPr>
                <w:rFonts w:ascii="Times New Roman" w:eastAsia="方正楷体_GB2312" w:hAnsi="Times New Roman"/>
              </w:rPr>
              <w:t>第三章</w:t>
            </w:r>
            <w:r w:rsidR="00FE7708">
              <w:rPr>
                <w:rFonts w:ascii="Times New Roman" w:eastAsia="方正楷体_GB2312" w:hAnsi="Times New Roman"/>
              </w:rPr>
              <w:t xml:space="preserve"> </w:t>
            </w:r>
            <w:r w:rsidR="00FE7708">
              <w:rPr>
                <w:rFonts w:ascii="Times New Roman" w:eastAsia="方正楷体_GB2312" w:hAnsi="Times New Roman"/>
              </w:rPr>
              <w:t>总体要求</w:t>
            </w:r>
            <w:r w:rsidR="00FE7708">
              <w:rPr>
                <w:rFonts w:ascii="Times New Roman" w:hAnsi="Times New Roman"/>
              </w:rPr>
              <w:tab/>
            </w:r>
            <w:r>
              <w:rPr>
                <w:rFonts w:ascii="Times New Roman" w:hAnsi="Times New Roman"/>
              </w:rPr>
              <w:fldChar w:fldCharType="begin"/>
            </w:r>
            <w:r w:rsidR="00FE7708">
              <w:rPr>
                <w:rFonts w:ascii="Times New Roman" w:hAnsi="Times New Roman"/>
              </w:rPr>
              <w:instrText xml:space="preserve"> PAGEREF _Toc8106 \h </w:instrText>
            </w:r>
            <w:r>
              <w:rPr>
                <w:rFonts w:ascii="Times New Roman" w:hAnsi="Times New Roman"/>
              </w:rPr>
            </w:r>
            <w:r>
              <w:rPr>
                <w:rFonts w:ascii="Times New Roman" w:hAnsi="Times New Roman"/>
              </w:rPr>
              <w:fldChar w:fldCharType="separate"/>
            </w:r>
            <w:r w:rsidR="00FE7708">
              <w:rPr>
                <w:rFonts w:ascii="Times New Roman" w:hAnsi="Times New Roman"/>
              </w:rPr>
              <w:t>18</w:t>
            </w:r>
            <w:r>
              <w:rPr>
                <w:rFonts w:ascii="Times New Roman"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100" w:history="1">
            <w:r w:rsidR="00FE7708">
              <w:rPr>
                <w:rFonts w:ascii="Times New Roman" w:eastAsia="方正仿宋_GB2312" w:hAnsi="Times New Roman"/>
              </w:rPr>
              <w:t>一、指导思想</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_Toc1100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18</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6741" w:history="1">
            <w:r w:rsidR="00FE7708">
              <w:rPr>
                <w:rFonts w:ascii="Times New Roman" w:eastAsia="方正仿宋_GB2312" w:hAnsi="Times New Roman"/>
              </w:rPr>
              <w:t>二、基本原则</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_Toc6741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18</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28252" w:history="1">
            <w:r w:rsidR="00FE7708">
              <w:rPr>
                <w:rFonts w:ascii="Times New Roman" w:eastAsia="方正仿宋_GB2312" w:hAnsi="Times New Roman"/>
              </w:rPr>
              <w:t>三、发展目标</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_Toc28252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19</w:t>
            </w:r>
            <w:r>
              <w:rPr>
                <w:rFonts w:ascii="Times New Roman" w:eastAsia="方正仿宋_GB2312" w:hAnsi="Times New Roman"/>
              </w:rPr>
              <w:fldChar w:fldCharType="end"/>
            </w:r>
          </w:hyperlink>
        </w:p>
        <w:p w:rsidR="00D74912" w:rsidRDefault="007318F7">
          <w:pPr>
            <w:pStyle w:val="10"/>
            <w:tabs>
              <w:tab w:val="right" w:leader="dot" w:pos="8306"/>
            </w:tabs>
            <w:rPr>
              <w:rFonts w:ascii="Times New Roman" w:hAnsi="Times New Roman"/>
            </w:rPr>
          </w:pPr>
          <w:hyperlink w:anchor="_Toc18964" w:history="1">
            <w:r w:rsidR="00FE7708">
              <w:rPr>
                <w:rFonts w:ascii="Times New Roman" w:eastAsia="方正楷体_GB2312" w:hAnsi="Times New Roman"/>
              </w:rPr>
              <w:t>第四章</w:t>
            </w:r>
            <w:r w:rsidR="00FE7708">
              <w:rPr>
                <w:rFonts w:ascii="Times New Roman" w:eastAsia="方正楷体_GB2312" w:hAnsi="Times New Roman"/>
              </w:rPr>
              <w:t xml:space="preserve"> </w:t>
            </w:r>
            <w:r w:rsidR="00FE7708">
              <w:rPr>
                <w:rFonts w:ascii="Times New Roman" w:eastAsia="方正楷体_GB2312" w:hAnsi="Times New Roman"/>
              </w:rPr>
              <w:t>重点任务</w:t>
            </w:r>
            <w:r w:rsidR="00FE7708">
              <w:rPr>
                <w:rFonts w:ascii="Times New Roman" w:hAnsi="Times New Roman"/>
              </w:rPr>
              <w:tab/>
            </w:r>
            <w:r>
              <w:rPr>
                <w:rFonts w:ascii="Times New Roman" w:hAnsi="Times New Roman"/>
              </w:rPr>
              <w:fldChar w:fldCharType="begin"/>
            </w:r>
            <w:r w:rsidR="00FE7708">
              <w:rPr>
                <w:rFonts w:ascii="Times New Roman" w:hAnsi="Times New Roman"/>
              </w:rPr>
              <w:instrText xml:space="preserve"> PAGEREF _Toc18964 \h </w:instrText>
            </w:r>
            <w:r>
              <w:rPr>
                <w:rFonts w:ascii="Times New Roman" w:hAnsi="Times New Roman"/>
              </w:rPr>
            </w:r>
            <w:r>
              <w:rPr>
                <w:rFonts w:ascii="Times New Roman" w:hAnsi="Times New Roman"/>
              </w:rPr>
              <w:fldChar w:fldCharType="separate"/>
            </w:r>
            <w:r w:rsidR="00FE7708">
              <w:rPr>
                <w:rFonts w:ascii="Times New Roman" w:hAnsi="Times New Roman"/>
              </w:rPr>
              <w:t>23</w:t>
            </w:r>
            <w:r>
              <w:rPr>
                <w:rFonts w:ascii="Times New Roman"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8434" w:history="1">
            <w:r w:rsidR="00FE7708">
              <w:rPr>
                <w:rFonts w:ascii="Times New Roman" w:eastAsia="方正仿宋_GB2312" w:hAnsi="Times New Roman"/>
              </w:rPr>
              <w:t>一、优化布局，加快预拌混凝土转型升级发展</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_Toc8434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23</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8932" w:history="1">
            <w:r w:rsidR="00FE7708">
              <w:rPr>
                <w:rFonts w:ascii="Times New Roman" w:eastAsia="方正仿宋_GB2312" w:hAnsi="Times New Roman"/>
              </w:rPr>
              <w:t>二、科学规划，推动预拌砂浆快速发展</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_Toc18932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24</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7165" w:history="1">
            <w:r w:rsidR="00FE7708">
              <w:rPr>
                <w:rFonts w:ascii="Times New Roman" w:eastAsia="方正仿宋_GB2312" w:hAnsi="Times New Roman"/>
              </w:rPr>
              <w:t>三、培育新动能，开拓和规范乡镇农村市场</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_Toc17165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26</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7553" w:history="1">
            <w:r w:rsidR="00FE7708">
              <w:rPr>
                <w:rFonts w:ascii="Times New Roman" w:eastAsia="方正仿宋_GB2312" w:hAnsi="Times New Roman"/>
              </w:rPr>
              <w:t>四、补链延链，提升产业链建设水平</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_Toc17553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27</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24074" w:history="1">
            <w:r w:rsidR="00FE7708">
              <w:rPr>
                <w:rFonts w:ascii="Times New Roman" w:eastAsia="方正仿宋_GB2312" w:hAnsi="Times New Roman"/>
              </w:rPr>
              <w:t>五、践行绿色理念，助力行业</w:t>
            </w:r>
            <w:r w:rsidR="00FE7708">
              <w:rPr>
                <w:rFonts w:ascii="Times New Roman" w:eastAsia="方正仿宋_GB2312" w:hAnsi="Times New Roman"/>
              </w:rPr>
              <w:t>“</w:t>
            </w:r>
            <w:r w:rsidR="00FE7708">
              <w:rPr>
                <w:rFonts w:ascii="Times New Roman" w:eastAsia="方正仿宋_GB2312" w:hAnsi="Times New Roman"/>
              </w:rPr>
              <w:t>碳达峰、碳中和</w:t>
            </w:r>
            <w:r w:rsidR="00FE7708">
              <w:rPr>
                <w:rFonts w:ascii="Times New Roman" w:eastAsia="方正仿宋_GB2312" w:hAnsi="Times New Roman"/>
              </w:rPr>
              <w:t>”</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_Toc24074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28</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9009" w:history="1">
            <w:r w:rsidR="00FE7708">
              <w:rPr>
                <w:rFonts w:ascii="Times New Roman" w:eastAsia="方正仿宋_GB2312" w:hAnsi="Times New Roman"/>
              </w:rPr>
              <w:t>六、科技引领，提高行业技术与创新水平</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_Toc19009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29</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25513" w:history="1">
            <w:r w:rsidR="00FE7708">
              <w:rPr>
                <w:rFonts w:ascii="Times New Roman" w:eastAsia="方正仿宋_GB2312" w:hAnsi="Times New Roman"/>
              </w:rPr>
              <w:t>七、两化融合，促进智能制造发展</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_Toc25513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30</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9595" w:history="1">
            <w:r w:rsidR="00FE7708">
              <w:rPr>
                <w:rFonts w:ascii="Times New Roman" w:eastAsia="方正仿宋_GB2312" w:hAnsi="Times New Roman"/>
              </w:rPr>
              <w:t>八、完善机制，推进行业规范化管理</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_Toc9595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32</w:t>
            </w:r>
            <w:r>
              <w:rPr>
                <w:rFonts w:ascii="Times New Roman" w:eastAsia="方正仿宋_GB2312" w:hAnsi="Times New Roman"/>
              </w:rPr>
              <w:fldChar w:fldCharType="end"/>
            </w:r>
          </w:hyperlink>
        </w:p>
        <w:p w:rsidR="00D74912" w:rsidRDefault="007318F7">
          <w:pPr>
            <w:pStyle w:val="10"/>
            <w:tabs>
              <w:tab w:val="right" w:leader="dot" w:pos="8306"/>
            </w:tabs>
            <w:rPr>
              <w:rFonts w:ascii="Times New Roman" w:hAnsi="Times New Roman"/>
            </w:rPr>
          </w:pPr>
          <w:hyperlink w:anchor="_Toc32084" w:history="1">
            <w:r w:rsidR="00FE7708">
              <w:rPr>
                <w:rFonts w:ascii="Times New Roman" w:eastAsia="方正楷体_GB2312" w:hAnsi="Times New Roman"/>
              </w:rPr>
              <w:t>第五章</w:t>
            </w:r>
            <w:r w:rsidR="00FE7708">
              <w:rPr>
                <w:rFonts w:ascii="Times New Roman" w:eastAsia="方正楷体_GB2312" w:hAnsi="Times New Roman"/>
              </w:rPr>
              <w:t xml:space="preserve"> </w:t>
            </w:r>
            <w:r w:rsidR="00FE7708">
              <w:rPr>
                <w:rFonts w:ascii="Times New Roman" w:eastAsia="方正楷体_GB2312" w:hAnsi="Times New Roman"/>
              </w:rPr>
              <w:t>规范条件与布局规划</w:t>
            </w:r>
            <w:r w:rsidR="00FE7708">
              <w:rPr>
                <w:rFonts w:ascii="Times New Roman" w:hAnsi="Times New Roman"/>
              </w:rPr>
              <w:tab/>
            </w:r>
            <w:r>
              <w:rPr>
                <w:rFonts w:ascii="Times New Roman" w:hAnsi="Times New Roman"/>
              </w:rPr>
              <w:fldChar w:fldCharType="begin"/>
            </w:r>
            <w:r w:rsidR="00FE7708">
              <w:rPr>
                <w:rFonts w:ascii="Times New Roman" w:hAnsi="Times New Roman"/>
              </w:rPr>
              <w:instrText xml:space="preserve"> PAGEREF _Toc32084 \h </w:instrText>
            </w:r>
            <w:r>
              <w:rPr>
                <w:rFonts w:ascii="Times New Roman" w:hAnsi="Times New Roman"/>
              </w:rPr>
            </w:r>
            <w:r>
              <w:rPr>
                <w:rFonts w:ascii="Times New Roman" w:hAnsi="Times New Roman"/>
              </w:rPr>
              <w:fldChar w:fldCharType="separate"/>
            </w:r>
            <w:r w:rsidR="00FE7708">
              <w:rPr>
                <w:rFonts w:ascii="Times New Roman" w:hAnsi="Times New Roman"/>
              </w:rPr>
              <w:t>34</w:t>
            </w:r>
            <w:r>
              <w:rPr>
                <w:rFonts w:ascii="Times New Roman"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932" w:history="1">
            <w:r w:rsidR="00FE7708">
              <w:rPr>
                <w:rFonts w:ascii="Times New Roman" w:eastAsia="方正仿宋_GB2312" w:hAnsi="Times New Roman"/>
                <w:kern w:val="0"/>
                <w:szCs w:val="32"/>
              </w:rPr>
              <w:t>一、</w:t>
            </w:r>
            <w:r w:rsidR="00FE7708">
              <w:rPr>
                <w:rFonts w:ascii="Times New Roman" w:eastAsia="方正仿宋_GB2312" w:hAnsi="Times New Roman"/>
                <w:kern w:val="0"/>
                <w:szCs w:val="32"/>
              </w:rPr>
              <w:t xml:space="preserve"> </w:t>
            </w:r>
            <w:r w:rsidR="00FE7708">
              <w:rPr>
                <w:rFonts w:ascii="Times New Roman" w:eastAsia="方正仿宋_GB2312" w:hAnsi="Times New Roman"/>
                <w:kern w:val="0"/>
                <w:szCs w:val="32"/>
              </w:rPr>
              <w:t>行业规范条件</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_Toc1932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34</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3960" w:history="1">
            <w:r w:rsidR="00FE7708">
              <w:rPr>
                <w:rFonts w:ascii="Times New Roman" w:eastAsia="方正仿宋_GB2312" w:hAnsi="Times New Roman"/>
                <w:kern w:val="0"/>
                <w:szCs w:val="32"/>
              </w:rPr>
              <w:t>二、预拌混凝土布局规划</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_Toc13960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37</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30681" w:history="1">
            <w:r w:rsidR="00FE7708">
              <w:rPr>
                <w:rFonts w:ascii="Times New Roman" w:eastAsia="方正仿宋_GB2312" w:hAnsi="Times New Roman"/>
                <w:kern w:val="0"/>
                <w:szCs w:val="32"/>
              </w:rPr>
              <w:t>三、预拌砂浆布局规划</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_Toc30681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41</w:t>
            </w:r>
            <w:r>
              <w:rPr>
                <w:rFonts w:ascii="Times New Roman" w:eastAsia="方正仿宋_GB2312" w:hAnsi="Times New Roman"/>
              </w:rPr>
              <w:fldChar w:fldCharType="end"/>
            </w:r>
          </w:hyperlink>
        </w:p>
        <w:p w:rsidR="00D74912" w:rsidRDefault="007318F7">
          <w:pPr>
            <w:pStyle w:val="10"/>
            <w:tabs>
              <w:tab w:val="right" w:leader="dot" w:pos="8306"/>
            </w:tabs>
            <w:rPr>
              <w:rFonts w:ascii="Times New Roman" w:hAnsi="Times New Roman"/>
            </w:rPr>
          </w:pPr>
          <w:hyperlink w:anchor="_Toc25483" w:history="1">
            <w:r w:rsidR="00FE7708">
              <w:rPr>
                <w:rFonts w:ascii="Times New Roman" w:eastAsia="方正楷体_GB2312" w:hAnsi="Times New Roman"/>
              </w:rPr>
              <w:t>第六章</w:t>
            </w:r>
            <w:r w:rsidR="00FE7708">
              <w:rPr>
                <w:rFonts w:ascii="Times New Roman" w:eastAsia="方正楷体_GB2312" w:hAnsi="Times New Roman"/>
              </w:rPr>
              <w:t xml:space="preserve"> </w:t>
            </w:r>
            <w:r w:rsidR="00FE7708">
              <w:rPr>
                <w:rFonts w:ascii="Times New Roman" w:eastAsia="方正楷体_GB2312" w:hAnsi="Times New Roman"/>
              </w:rPr>
              <w:t>保障措施</w:t>
            </w:r>
            <w:r w:rsidR="00FE7708">
              <w:rPr>
                <w:rFonts w:ascii="Times New Roman" w:hAnsi="Times New Roman"/>
              </w:rPr>
              <w:tab/>
            </w:r>
            <w:r>
              <w:rPr>
                <w:rFonts w:ascii="Times New Roman" w:hAnsi="Times New Roman"/>
              </w:rPr>
              <w:fldChar w:fldCharType="begin"/>
            </w:r>
            <w:r w:rsidR="00FE7708">
              <w:rPr>
                <w:rFonts w:ascii="Times New Roman" w:hAnsi="Times New Roman"/>
              </w:rPr>
              <w:instrText xml:space="preserve"> PAGEREF _Toc25483 \h </w:instrText>
            </w:r>
            <w:r>
              <w:rPr>
                <w:rFonts w:ascii="Times New Roman" w:hAnsi="Times New Roman"/>
              </w:rPr>
            </w:r>
            <w:r>
              <w:rPr>
                <w:rFonts w:ascii="Times New Roman" w:hAnsi="Times New Roman"/>
              </w:rPr>
              <w:fldChar w:fldCharType="separate"/>
            </w:r>
            <w:r w:rsidR="00FE7708">
              <w:rPr>
                <w:rFonts w:ascii="Times New Roman" w:hAnsi="Times New Roman"/>
              </w:rPr>
              <w:t>43</w:t>
            </w:r>
            <w:r>
              <w:rPr>
                <w:rFonts w:ascii="Times New Roman"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568" w:history="1">
            <w:r w:rsidR="00FE7708">
              <w:rPr>
                <w:rFonts w:ascii="Times New Roman" w:eastAsia="方正仿宋_GB2312" w:hAnsi="Times New Roman"/>
                <w:bCs/>
                <w:szCs w:val="26"/>
              </w:rPr>
              <w:t>一、加强组织领导，明确部门分工</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_Toc568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43</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28375" w:history="1">
            <w:r w:rsidR="00FE7708">
              <w:rPr>
                <w:rFonts w:ascii="Times New Roman" w:eastAsia="方正仿宋_GB2312" w:hAnsi="Times New Roman"/>
                <w:bCs/>
                <w:szCs w:val="26"/>
              </w:rPr>
              <w:t>二、完善政策措施，强化监督管理</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_Toc28375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44</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9175" w:history="1">
            <w:r w:rsidR="00FE7708">
              <w:rPr>
                <w:rFonts w:ascii="Times New Roman" w:eastAsia="方正仿宋_GB2312" w:hAnsi="Times New Roman"/>
                <w:bCs/>
                <w:szCs w:val="26"/>
              </w:rPr>
              <w:t>三、加强监管信息化建设，规范协会管理</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_Toc19175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45</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18215" w:history="1">
            <w:r w:rsidR="00FE7708">
              <w:rPr>
                <w:rFonts w:ascii="Times New Roman" w:eastAsia="方正仿宋_GB2312" w:hAnsi="Times New Roman"/>
                <w:bCs/>
                <w:szCs w:val="26"/>
              </w:rPr>
              <w:t>四、加快人才培养，提高服务能力</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_Toc18215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45</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eastAsia="方正仿宋_GB2312" w:hAnsi="Times New Roman"/>
            </w:rPr>
          </w:pPr>
          <w:hyperlink w:anchor="_Toc29502" w:history="1">
            <w:r w:rsidR="00FE7708">
              <w:rPr>
                <w:rFonts w:ascii="Times New Roman" w:eastAsia="方正仿宋_GB2312" w:hAnsi="Times New Roman"/>
                <w:bCs/>
                <w:szCs w:val="26"/>
              </w:rPr>
              <w:t>五、推动协会自身建设，健全有效的联系沟通机制</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_Toc29502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46</w:t>
            </w:r>
            <w:r>
              <w:rPr>
                <w:rFonts w:ascii="Times New Roman" w:eastAsia="方正仿宋_GB2312" w:hAnsi="Times New Roman"/>
              </w:rPr>
              <w:fldChar w:fldCharType="end"/>
            </w:r>
          </w:hyperlink>
        </w:p>
        <w:p w:rsidR="00D74912" w:rsidRDefault="007318F7">
          <w:pPr>
            <w:pStyle w:val="21"/>
            <w:tabs>
              <w:tab w:val="right" w:leader="dot" w:pos="8306"/>
            </w:tabs>
            <w:rPr>
              <w:rFonts w:ascii="Times New Roman" w:hAnsi="Times New Roman"/>
            </w:rPr>
          </w:pPr>
          <w:hyperlink w:anchor="_Toc29092" w:history="1">
            <w:r w:rsidR="00FE7708">
              <w:rPr>
                <w:rFonts w:ascii="Times New Roman" w:eastAsia="方正仿宋_GB2312" w:hAnsi="Times New Roman"/>
                <w:bCs/>
                <w:szCs w:val="26"/>
              </w:rPr>
              <w:t>六、重视宣传引导，营造良好氛围</w:t>
            </w:r>
            <w:r w:rsidR="00FE7708">
              <w:rPr>
                <w:rFonts w:ascii="Times New Roman" w:eastAsia="方正仿宋_GB2312" w:hAnsi="Times New Roman"/>
              </w:rPr>
              <w:tab/>
            </w:r>
            <w:r>
              <w:rPr>
                <w:rFonts w:ascii="Times New Roman" w:eastAsia="方正仿宋_GB2312" w:hAnsi="Times New Roman"/>
              </w:rPr>
              <w:fldChar w:fldCharType="begin"/>
            </w:r>
            <w:r w:rsidR="00FE7708">
              <w:rPr>
                <w:rFonts w:ascii="Times New Roman" w:eastAsia="方正仿宋_GB2312" w:hAnsi="Times New Roman"/>
              </w:rPr>
              <w:instrText xml:space="preserve"> PAGEREF _Toc29092 \h </w:instrText>
            </w:r>
            <w:r>
              <w:rPr>
                <w:rFonts w:ascii="Times New Roman" w:eastAsia="方正仿宋_GB2312" w:hAnsi="Times New Roman"/>
              </w:rPr>
            </w:r>
            <w:r>
              <w:rPr>
                <w:rFonts w:ascii="Times New Roman" w:eastAsia="方正仿宋_GB2312" w:hAnsi="Times New Roman"/>
              </w:rPr>
              <w:fldChar w:fldCharType="separate"/>
            </w:r>
            <w:r w:rsidR="00FE7708">
              <w:rPr>
                <w:rFonts w:ascii="Times New Roman" w:eastAsia="方正仿宋_GB2312" w:hAnsi="Times New Roman"/>
              </w:rPr>
              <w:t>46</w:t>
            </w:r>
            <w:r>
              <w:rPr>
                <w:rFonts w:ascii="Times New Roman" w:eastAsia="方正仿宋_GB2312" w:hAnsi="Times New Roman"/>
              </w:rPr>
              <w:fldChar w:fldCharType="end"/>
            </w:r>
          </w:hyperlink>
        </w:p>
        <w:p w:rsidR="00D74912" w:rsidRDefault="007318F7">
          <w:pPr>
            <w:pStyle w:val="2"/>
            <w:ind w:left="0"/>
            <w:rPr>
              <w:rFonts w:ascii="Times New Roman" w:hAnsi="Times New Roman"/>
            </w:rPr>
          </w:pPr>
          <w:r>
            <w:rPr>
              <w:rFonts w:ascii="Times New Roman" w:hAnsi="Times New Roman"/>
            </w:rPr>
            <w:fldChar w:fldCharType="end"/>
          </w:r>
        </w:p>
      </w:sdtContent>
    </w:sdt>
    <w:p w:rsidR="00D74912" w:rsidRDefault="00D74912">
      <w:pPr>
        <w:pStyle w:val="2"/>
        <w:rPr>
          <w:rFonts w:ascii="Times New Roman" w:eastAsia="黑体" w:hAnsi="Times New Roman"/>
          <w:kern w:val="0"/>
          <w:sz w:val="36"/>
          <w:szCs w:val="36"/>
        </w:rPr>
      </w:pPr>
    </w:p>
    <w:p w:rsidR="00D74912" w:rsidRDefault="00D74912">
      <w:pPr>
        <w:pStyle w:val="2"/>
        <w:ind w:left="0"/>
        <w:rPr>
          <w:rFonts w:ascii="Times New Roman" w:eastAsia="黑体" w:hAnsi="Times New Roman"/>
          <w:kern w:val="0"/>
          <w:sz w:val="36"/>
          <w:szCs w:val="36"/>
        </w:rPr>
        <w:sectPr w:rsidR="00D74912">
          <w:footerReference w:type="default" r:id="rId10"/>
          <w:pgSz w:w="11906" w:h="16838"/>
          <w:pgMar w:top="1440" w:right="1800" w:bottom="1440" w:left="1800" w:header="851" w:footer="992" w:gutter="0"/>
          <w:pgNumType w:fmt="upperRoman" w:start="1"/>
          <w:cols w:space="425"/>
          <w:docGrid w:type="lines" w:linePitch="312"/>
        </w:sectPr>
      </w:pPr>
    </w:p>
    <w:p w:rsidR="00D74912" w:rsidRDefault="00FE7708" w:rsidP="00E82BEF">
      <w:pPr>
        <w:widowControl/>
        <w:adjustRightInd w:val="0"/>
        <w:snapToGrid w:val="0"/>
        <w:spacing w:afterLines="100" w:line="360" w:lineRule="auto"/>
        <w:jc w:val="center"/>
        <w:outlineLvl w:val="0"/>
        <w:rPr>
          <w:rFonts w:ascii="Times New Roman" w:eastAsia="黑体" w:hAnsi="Times New Roman"/>
          <w:kern w:val="0"/>
          <w:sz w:val="36"/>
          <w:szCs w:val="36"/>
        </w:rPr>
      </w:pPr>
      <w:bookmarkStart w:id="12" w:name="_Toc6240"/>
      <w:bookmarkStart w:id="13" w:name="_Toc30771"/>
      <w:bookmarkStart w:id="14" w:name="_Toc22780"/>
      <w:r>
        <w:rPr>
          <w:rFonts w:ascii="Times New Roman" w:eastAsia="黑体" w:hAnsi="Times New Roman"/>
          <w:kern w:val="0"/>
          <w:sz w:val="36"/>
          <w:szCs w:val="36"/>
        </w:rPr>
        <w:lastRenderedPageBreak/>
        <w:t>前</w:t>
      </w:r>
      <w:r>
        <w:rPr>
          <w:rFonts w:ascii="Times New Roman" w:eastAsia="黑体" w:hAnsi="Times New Roman"/>
          <w:kern w:val="0"/>
          <w:sz w:val="36"/>
          <w:szCs w:val="36"/>
        </w:rPr>
        <w:t xml:space="preserve"> </w:t>
      </w:r>
      <w:r>
        <w:rPr>
          <w:rFonts w:ascii="Times New Roman" w:eastAsia="黑体" w:hAnsi="Times New Roman"/>
          <w:kern w:val="0"/>
          <w:sz w:val="36"/>
          <w:szCs w:val="36"/>
        </w:rPr>
        <w:t>言</w:t>
      </w:r>
      <w:bookmarkEnd w:id="11"/>
      <w:bookmarkEnd w:id="10"/>
      <w:bookmarkEnd w:id="9"/>
      <w:bookmarkEnd w:id="8"/>
      <w:bookmarkEnd w:id="7"/>
      <w:bookmarkEnd w:id="6"/>
      <w:bookmarkEnd w:id="5"/>
      <w:bookmarkEnd w:id="4"/>
      <w:bookmarkEnd w:id="3"/>
      <w:bookmarkEnd w:id="2"/>
      <w:bookmarkEnd w:id="1"/>
      <w:bookmarkEnd w:id="12"/>
      <w:bookmarkEnd w:id="13"/>
      <w:bookmarkEnd w:id="14"/>
    </w:p>
    <w:p w:rsidR="00D74912" w:rsidRDefault="00FE7708">
      <w:pPr>
        <w:adjustRightInd w:val="0"/>
        <w:snapToGrid w:val="0"/>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发展散装水泥、预拌混凝土和预拌砂浆对节约资源、发展循环经济、促进节能减排具有十分重要的作用，同时也是保障建设工程质量和提高建筑施工现代化水平的重要手段；对钦州市实施高质量发展，促进生态文明建设，</w:t>
      </w:r>
      <w:r>
        <w:rPr>
          <w:rFonts w:ascii="Times New Roman" w:eastAsia="仿宋" w:hAnsi="Times New Roman" w:hint="eastAsia"/>
          <w:sz w:val="32"/>
          <w:szCs w:val="32"/>
        </w:rPr>
        <w:t>着力</w:t>
      </w:r>
      <w:r>
        <w:rPr>
          <w:rFonts w:ascii="Times New Roman" w:eastAsia="仿宋" w:hAnsi="Times New Roman"/>
          <w:sz w:val="32"/>
          <w:szCs w:val="32"/>
        </w:rPr>
        <w:t>打造</w:t>
      </w:r>
      <w:r>
        <w:rPr>
          <w:rFonts w:ascii="Times New Roman" w:eastAsia="仿宋" w:hAnsi="Times New Roman" w:hint="eastAsia"/>
          <w:sz w:val="32"/>
          <w:szCs w:val="32"/>
        </w:rPr>
        <w:t>“建大港、兴壮产业、造滨城、美乡村”</w:t>
      </w:r>
      <w:r>
        <w:rPr>
          <w:rFonts w:ascii="Times New Roman" w:eastAsia="仿宋" w:hAnsi="Times New Roman"/>
          <w:sz w:val="32"/>
          <w:szCs w:val="32"/>
        </w:rPr>
        <w:t>具有重要意义。为深入贯彻生态文明建设，落实国家和自治区</w:t>
      </w:r>
      <w:r>
        <w:rPr>
          <w:rFonts w:ascii="Times New Roman" w:eastAsia="仿宋" w:hAnsi="Times New Roman"/>
          <w:sz w:val="32"/>
          <w:szCs w:val="32"/>
        </w:rPr>
        <w:t>“</w:t>
      </w:r>
      <w:r>
        <w:rPr>
          <w:rFonts w:ascii="Times New Roman" w:eastAsia="仿宋" w:hAnsi="Times New Roman"/>
          <w:sz w:val="32"/>
          <w:szCs w:val="32"/>
        </w:rPr>
        <w:t>碳达峰、碳中和</w:t>
      </w:r>
      <w:r>
        <w:rPr>
          <w:rFonts w:ascii="Times New Roman" w:eastAsia="仿宋" w:hAnsi="Times New Roman"/>
          <w:sz w:val="32"/>
          <w:szCs w:val="32"/>
        </w:rPr>
        <w:t>”</w:t>
      </w:r>
      <w:r>
        <w:rPr>
          <w:rFonts w:ascii="Times New Roman" w:eastAsia="仿宋" w:hAnsi="Times New Roman"/>
          <w:sz w:val="32"/>
          <w:szCs w:val="32"/>
        </w:rPr>
        <w:t>重大决策部署，加快推动钦州市散装水泥、预拌混凝土、预拌砂浆产业高质量发展，根据《广西壮族自治区促进散装水泥发展和应用条例》《广西预拌混凝土管理办法》《广西散装水泥、预拌混凝土、预拌砂浆发展</w:t>
      </w:r>
      <w:r>
        <w:rPr>
          <w:rFonts w:ascii="Times New Roman" w:eastAsia="仿宋" w:hAnsi="Times New Roman"/>
          <w:sz w:val="32"/>
          <w:szCs w:val="32"/>
        </w:rPr>
        <w:t>“</w:t>
      </w:r>
      <w:r>
        <w:rPr>
          <w:rFonts w:ascii="Times New Roman" w:eastAsia="仿宋" w:hAnsi="Times New Roman"/>
          <w:sz w:val="32"/>
          <w:szCs w:val="32"/>
        </w:rPr>
        <w:t>十四五</w:t>
      </w:r>
      <w:r>
        <w:rPr>
          <w:rFonts w:ascii="Times New Roman" w:eastAsia="仿宋" w:hAnsi="Times New Roman"/>
          <w:sz w:val="32"/>
          <w:szCs w:val="32"/>
        </w:rPr>
        <w:t>”</w:t>
      </w:r>
      <w:r>
        <w:rPr>
          <w:rFonts w:ascii="Times New Roman" w:eastAsia="仿宋" w:hAnsi="Times New Roman"/>
          <w:sz w:val="32"/>
          <w:szCs w:val="32"/>
        </w:rPr>
        <w:t>规划（报审稿）》《钦州市国民经济和社会发展第十四个五年规划和</w:t>
      </w:r>
      <w:r>
        <w:rPr>
          <w:rFonts w:ascii="Times New Roman" w:eastAsia="仿宋" w:hAnsi="Times New Roman" w:hint="eastAsia"/>
          <w:sz w:val="32"/>
          <w:szCs w:val="32"/>
        </w:rPr>
        <w:t>2035</w:t>
      </w:r>
      <w:r>
        <w:rPr>
          <w:rFonts w:ascii="Times New Roman" w:eastAsia="仿宋" w:hAnsi="Times New Roman"/>
          <w:sz w:val="32"/>
          <w:szCs w:val="32"/>
        </w:rPr>
        <w:t>年远景目标纲要》以及国家、自治区和钦州市其他有关政策文件要求，结合钦州实际情况，编制《钦州市预拌混凝土、预拌砂浆发展</w:t>
      </w:r>
      <w:r>
        <w:rPr>
          <w:rFonts w:ascii="Times New Roman" w:eastAsia="仿宋" w:hAnsi="Times New Roman"/>
          <w:sz w:val="32"/>
          <w:szCs w:val="32"/>
        </w:rPr>
        <w:t>“</w:t>
      </w:r>
      <w:r>
        <w:rPr>
          <w:rFonts w:ascii="Times New Roman" w:eastAsia="仿宋" w:hAnsi="Times New Roman"/>
          <w:sz w:val="32"/>
          <w:szCs w:val="32"/>
        </w:rPr>
        <w:t>十四五</w:t>
      </w:r>
      <w:r>
        <w:rPr>
          <w:rFonts w:ascii="Times New Roman" w:eastAsia="仿宋" w:hAnsi="Times New Roman"/>
          <w:sz w:val="32"/>
          <w:szCs w:val="32"/>
        </w:rPr>
        <w:t>”</w:t>
      </w:r>
      <w:r>
        <w:rPr>
          <w:rFonts w:ascii="Times New Roman" w:eastAsia="仿宋" w:hAnsi="Times New Roman"/>
          <w:sz w:val="32"/>
          <w:szCs w:val="32"/>
        </w:rPr>
        <w:t>规划》（以下简称</w:t>
      </w:r>
      <w:r>
        <w:rPr>
          <w:rFonts w:ascii="Times New Roman" w:eastAsia="仿宋" w:hAnsi="Times New Roman"/>
          <w:sz w:val="32"/>
          <w:szCs w:val="32"/>
        </w:rPr>
        <w:t>“</w:t>
      </w:r>
      <w:r>
        <w:rPr>
          <w:rFonts w:ascii="Times New Roman" w:eastAsia="仿宋" w:hAnsi="Times New Roman"/>
          <w:sz w:val="32"/>
          <w:szCs w:val="32"/>
        </w:rPr>
        <w:t>本规划</w:t>
      </w:r>
      <w:r>
        <w:rPr>
          <w:rFonts w:ascii="Times New Roman" w:eastAsia="仿宋" w:hAnsi="Times New Roman"/>
          <w:sz w:val="32"/>
          <w:szCs w:val="32"/>
        </w:rPr>
        <w:t>”</w:t>
      </w:r>
      <w:r>
        <w:rPr>
          <w:rFonts w:ascii="Times New Roman" w:eastAsia="仿宋" w:hAnsi="Times New Roman"/>
          <w:sz w:val="32"/>
          <w:szCs w:val="32"/>
        </w:rPr>
        <w:t>）。</w:t>
      </w:r>
    </w:p>
    <w:p w:rsidR="00D74912" w:rsidRDefault="00FE7708">
      <w:pPr>
        <w:adjustRightInd w:val="0"/>
        <w:snapToGrid w:val="0"/>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本规划范围：钦州市行政区域范围，即灵山县</w:t>
      </w:r>
      <w:r>
        <w:rPr>
          <w:rFonts w:ascii="Times New Roman" w:eastAsia="仿宋" w:hAnsi="Times New Roman" w:hint="eastAsia"/>
          <w:sz w:val="32"/>
          <w:szCs w:val="32"/>
        </w:rPr>
        <w:t>、</w:t>
      </w:r>
      <w:r>
        <w:rPr>
          <w:rFonts w:ascii="Times New Roman" w:eastAsia="仿宋" w:hAnsi="Times New Roman"/>
          <w:sz w:val="32"/>
          <w:szCs w:val="32"/>
        </w:rPr>
        <w:t>浦北县</w:t>
      </w:r>
      <w:r>
        <w:rPr>
          <w:rFonts w:ascii="Times New Roman" w:eastAsia="仿宋" w:hAnsi="Times New Roman" w:hint="eastAsia"/>
          <w:sz w:val="32"/>
          <w:szCs w:val="32"/>
        </w:rPr>
        <w:t>、</w:t>
      </w:r>
      <w:r>
        <w:rPr>
          <w:rFonts w:ascii="Times New Roman" w:eastAsia="仿宋" w:hAnsi="Times New Roman"/>
          <w:sz w:val="32"/>
          <w:szCs w:val="32"/>
        </w:rPr>
        <w:t>钦南区、钦北区、浦北县、灵山县。</w:t>
      </w:r>
    </w:p>
    <w:p w:rsidR="00D74912" w:rsidRDefault="00FE7708">
      <w:pPr>
        <w:adjustRightInd w:val="0"/>
        <w:snapToGrid w:val="0"/>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本规划期限：</w:t>
      </w:r>
      <w:r>
        <w:rPr>
          <w:rFonts w:ascii="Times New Roman" w:eastAsia="仿宋" w:hAnsi="Times New Roman"/>
          <w:sz w:val="32"/>
          <w:szCs w:val="32"/>
        </w:rPr>
        <w:t>2021</w:t>
      </w:r>
      <w:r>
        <w:rPr>
          <w:rFonts w:ascii="Times New Roman" w:eastAsia="仿宋" w:hAnsi="Times New Roman"/>
          <w:sz w:val="32"/>
          <w:szCs w:val="32"/>
        </w:rPr>
        <w:t>年</w:t>
      </w:r>
      <w:r>
        <w:rPr>
          <w:rFonts w:ascii="Times New Roman" w:eastAsia="仿宋" w:hAnsi="Times New Roman"/>
          <w:sz w:val="32"/>
          <w:szCs w:val="32"/>
        </w:rPr>
        <w:t>—2025</w:t>
      </w:r>
      <w:r>
        <w:rPr>
          <w:rFonts w:ascii="Times New Roman" w:eastAsia="仿宋" w:hAnsi="Times New Roman"/>
          <w:sz w:val="32"/>
          <w:szCs w:val="32"/>
        </w:rPr>
        <w:t>年。</w:t>
      </w:r>
    </w:p>
    <w:p w:rsidR="00D74912" w:rsidRDefault="00D74912">
      <w:pPr>
        <w:pStyle w:val="2"/>
        <w:rPr>
          <w:rFonts w:ascii="Times New Roman" w:hAnsi="Times New Roman"/>
        </w:rPr>
      </w:pPr>
    </w:p>
    <w:p w:rsidR="00D74912" w:rsidRDefault="00D74912">
      <w:pPr>
        <w:pStyle w:val="2"/>
        <w:rPr>
          <w:rFonts w:ascii="Times New Roman" w:hAnsi="Times New Roman"/>
        </w:rPr>
      </w:pPr>
    </w:p>
    <w:p w:rsidR="00D74912" w:rsidRDefault="00D74912">
      <w:pPr>
        <w:pStyle w:val="2"/>
        <w:rPr>
          <w:rFonts w:ascii="Times New Roman" w:hAnsi="Times New Roman"/>
        </w:rPr>
        <w:sectPr w:rsidR="00D74912">
          <w:footerReference w:type="default" r:id="rId11"/>
          <w:pgSz w:w="11906" w:h="16838"/>
          <w:pgMar w:top="1440" w:right="1800" w:bottom="1440" w:left="1800" w:header="851" w:footer="992" w:gutter="0"/>
          <w:pgNumType w:start="1"/>
          <w:cols w:space="425"/>
          <w:docGrid w:type="lines" w:linePitch="312"/>
        </w:sectPr>
      </w:pPr>
    </w:p>
    <w:p w:rsidR="00D74912" w:rsidRDefault="00FE7708">
      <w:pPr>
        <w:pStyle w:val="2"/>
        <w:jc w:val="center"/>
        <w:outlineLvl w:val="0"/>
        <w:rPr>
          <w:rFonts w:ascii="Times New Roman" w:eastAsia="黑体" w:hAnsi="Times New Roman"/>
          <w:kern w:val="0"/>
          <w:sz w:val="36"/>
          <w:szCs w:val="36"/>
        </w:rPr>
      </w:pPr>
      <w:bookmarkStart w:id="15" w:name="_Toc17725"/>
      <w:bookmarkStart w:id="16" w:name="_Toc26165"/>
      <w:bookmarkStart w:id="17" w:name="_Toc19908"/>
      <w:r>
        <w:rPr>
          <w:rFonts w:ascii="Times New Roman" w:eastAsia="黑体" w:hAnsi="Times New Roman"/>
          <w:kern w:val="0"/>
          <w:sz w:val="36"/>
          <w:szCs w:val="36"/>
        </w:rPr>
        <w:lastRenderedPageBreak/>
        <w:t>第一章</w:t>
      </w:r>
      <w:r>
        <w:rPr>
          <w:rFonts w:ascii="Times New Roman" w:eastAsia="黑体" w:hAnsi="Times New Roman"/>
          <w:kern w:val="0"/>
          <w:sz w:val="36"/>
          <w:szCs w:val="36"/>
        </w:rPr>
        <w:t xml:space="preserve"> </w:t>
      </w:r>
      <w:r>
        <w:rPr>
          <w:rFonts w:ascii="Times New Roman" w:eastAsia="黑体" w:hAnsi="Times New Roman"/>
          <w:kern w:val="0"/>
          <w:sz w:val="36"/>
          <w:szCs w:val="36"/>
        </w:rPr>
        <w:t>发展基础</w:t>
      </w:r>
      <w:bookmarkEnd w:id="15"/>
      <w:bookmarkEnd w:id="16"/>
      <w:bookmarkEnd w:id="17"/>
    </w:p>
    <w:p w:rsidR="00D74912" w:rsidRDefault="00FE7708">
      <w:pPr>
        <w:widowControl/>
        <w:adjustRightInd w:val="0"/>
        <w:snapToGrid w:val="0"/>
        <w:spacing w:line="360" w:lineRule="auto"/>
        <w:ind w:firstLineChars="100" w:firstLine="320"/>
        <w:outlineLvl w:val="1"/>
        <w:rPr>
          <w:rFonts w:ascii="Times New Roman" w:eastAsia="黑体" w:hAnsi="Times New Roman"/>
          <w:kern w:val="0"/>
          <w:sz w:val="36"/>
          <w:szCs w:val="36"/>
        </w:rPr>
      </w:pPr>
      <w:bookmarkStart w:id="18" w:name="_Toc29626"/>
      <w:bookmarkStart w:id="19" w:name="_Toc3119"/>
      <w:bookmarkStart w:id="20" w:name="_Toc1517"/>
      <w:r>
        <w:rPr>
          <w:rFonts w:ascii="Times New Roman" w:eastAsia="黑体" w:hAnsi="Times New Roman"/>
          <w:bCs/>
          <w:sz w:val="32"/>
          <w:szCs w:val="26"/>
        </w:rPr>
        <w:t>一、行业现状</w:t>
      </w:r>
      <w:bookmarkEnd w:id="18"/>
      <w:bookmarkEnd w:id="19"/>
      <w:bookmarkEnd w:id="20"/>
    </w:p>
    <w:p w:rsidR="00D74912" w:rsidRDefault="00FE7708">
      <w:pPr>
        <w:spacing w:line="360" w:lineRule="auto"/>
        <w:ind w:firstLineChars="100" w:firstLine="321"/>
        <w:outlineLvl w:val="2"/>
        <w:rPr>
          <w:rFonts w:ascii="Times New Roman" w:eastAsia="楷体" w:hAnsi="Times New Roman"/>
          <w:b/>
          <w:sz w:val="32"/>
          <w:szCs w:val="32"/>
        </w:rPr>
      </w:pPr>
      <w:r>
        <w:rPr>
          <w:rFonts w:ascii="Times New Roman" w:eastAsia="楷体" w:hAnsi="Times New Roman"/>
          <w:b/>
          <w:sz w:val="32"/>
          <w:szCs w:val="32"/>
        </w:rPr>
        <w:t>（一）散装水泥行业</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截止</w:t>
      </w:r>
      <w:r>
        <w:rPr>
          <w:rFonts w:ascii="Times New Roman" w:eastAsia="仿宋" w:hAnsi="Times New Roman"/>
          <w:sz w:val="32"/>
          <w:szCs w:val="32"/>
        </w:rPr>
        <w:t>2021</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月，钦州市共有水泥粉磨站</w:t>
      </w:r>
      <w:r>
        <w:rPr>
          <w:rFonts w:ascii="Times New Roman" w:eastAsia="仿宋" w:hAnsi="Times New Roman"/>
          <w:sz w:val="32"/>
          <w:szCs w:val="32"/>
        </w:rPr>
        <w:t>4</w:t>
      </w:r>
      <w:r>
        <w:rPr>
          <w:rFonts w:ascii="Times New Roman" w:eastAsia="仿宋" w:hAnsi="Times New Roman"/>
          <w:sz w:val="32"/>
          <w:szCs w:val="32"/>
        </w:rPr>
        <w:t>家，设计总产能为</w:t>
      </w:r>
      <w:r>
        <w:rPr>
          <w:rFonts w:ascii="Times New Roman" w:eastAsia="仿宋" w:hAnsi="Times New Roman"/>
          <w:sz w:val="32"/>
          <w:szCs w:val="32"/>
        </w:rPr>
        <w:t>3</w:t>
      </w:r>
      <w:r>
        <w:rPr>
          <w:rFonts w:ascii="Times New Roman" w:eastAsia="仿宋" w:hAnsi="Times New Roman" w:hint="eastAsia"/>
          <w:sz w:val="32"/>
          <w:szCs w:val="32"/>
        </w:rPr>
        <w:t>1</w:t>
      </w:r>
      <w:r>
        <w:rPr>
          <w:rFonts w:ascii="Times New Roman" w:eastAsia="仿宋" w:hAnsi="Times New Roman"/>
          <w:sz w:val="32"/>
          <w:szCs w:val="32"/>
        </w:rPr>
        <w:t>0</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年，其中钦州市海特混凝土有限公司（浦北县），设计产能</w:t>
      </w:r>
      <w:r>
        <w:rPr>
          <w:rFonts w:ascii="Times New Roman" w:eastAsia="仿宋" w:hAnsi="Times New Roman"/>
          <w:sz w:val="32"/>
          <w:szCs w:val="32"/>
        </w:rPr>
        <w:t>90</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年；广西绿宝石集团水泥粉磨站（浦北县），设计产能</w:t>
      </w:r>
      <w:r>
        <w:rPr>
          <w:rFonts w:ascii="Times New Roman" w:eastAsia="仿宋" w:hAnsi="Times New Roman" w:hint="eastAsia"/>
          <w:sz w:val="32"/>
          <w:szCs w:val="32"/>
        </w:rPr>
        <w:t>60</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年；广西登高集团钦州旭升水泥有限公司（钦南区），设计产能</w:t>
      </w:r>
      <w:r>
        <w:rPr>
          <w:rFonts w:ascii="Times New Roman" w:eastAsia="仿宋" w:hAnsi="Times New Roman"/>
          <w:sz w:val="32"/>
          <w:szCs w:val="32"/>
        </w:rPr>
        <w:t>100</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年；广西钦州金锋水泥有限公司（钦南区），设计产能</w:t>
      </w:r>
      <w:r>
        <w:rPr>
          <w:rFonts w:ascii="Times New Roman" w:eastAsia="仿宋" w:hAnsi="Times New Roman"/>
          <w:sz w:val="32"/>
          <w:szCs w:val="32"/>
        </w:rPr>
        <w:t>60</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年。全市共有散装水泥罐</w:t>
      </w:r>
      <w:r>
        <w:rPr>
          <w:rFonts w:ascii="Times New Roman" w:eastAsia="仿宋" w:hAnsi="Times New Roman"/>
          <w:sz w:val="32"/>
          <w:szCs w:val="32"/>
        </w:rPr>
        <w:t>51</w:t>
      </w:r>
      <w:r>
        <w:rPr>
          <w:rFonts w:ascii="Times New Roman" w:eastAsia="仿宋" w:hAnsi="Times New Roman"/>
          <w:sz w:val="32"/>
          <w:szCs w:val="32"/>
        </w:rPr>
        <w:t>个，容量</w:t>
      </w:r>
      <w:r>
        <w:rPr>
          <w:rFonts w:ascii="Times New Roman" w:eastAsia="仿宋" w:hAnsi="Times New Roman"/>
          <w:sz w:val="32"/>
          <w:szCs w:val="32"/>
        </w:rPr>
        <w:t>3350</w:t>
      </w:r>
      <w:r>
        <w:rPr>
          <w:rFonts w:ascii="Times New Roman" w:eastAsia="仿宋" w:hAnsi="Times New Roman"/>
          <w:sz w:val="32"/>
          <w:szCs w:val="32"/>
        </w:rPr>
        <w:t>万立方米，</w:t>
      </w:r>
      <w:r>
        <w:rPr>
          <w:rFonts w:ascii="Times New Roman" w:eastAsia="仿宋" w:hAnsi="Times New Roman"/>
          <w:sz w:val="32"/>
          <w:szCs w:val="32"/>
        </w:rPr>
        <w:t>2020</w:t>
      </w:r>
      <w:r>
        <w:rPr>
          <w:rFonts w:ascii="Times New Roman" w:eastAsia="仿宋" w:hAnsi="Times New Roman"/>
          <w:sz w:val="32"/>
          <w:szCs w:val="32"/>
        </w:rPr>
        <w:t>年全市散装水泥使用率达</w:t>
      </w:r>
      <w:r>
        <w:rPr>
          <w:rFonts w:ascii="Times New Roman" w:eastAsia="仿宋" w:hAnsi="Times New Roman"/>
          <w:sz w:val="32"/>
          <w:szCs w:val="32"/>
        </w:rPr>
        <w:t>60%</w:t>
      </w:r>
      <w:r>
        <w:rPr>
          <w:rFonts w:ascii="Times New Roman" w:eastAsia="仿宋" w:hAnsi="Times New Roman"/>
          <w:sz w:val="32"/>
          <w:szCs w:val="32"/>
        </w:rPr>
        <w:t>。</w:t>
      </w:r>
    </w:p>
    <w:p w:rsidR="00D74912" w:rsidRDefault="00FE7708">
      <w:pPr>
        <w:spacing w:line="360" w:lineRule="auto"/>
        <w:ind w:firstLineChars="100" w:firstLine="321"/>
        <w:outlineLvl w:val="2"/>
        <w:rPr>
          <w:rFonts w:ascii="Times New Roman" w:eastAsia="楷体" w:hAnsi="Times New Roman"/>
          <w:b/>
          <w:sz w:val="32"/>
          <w:szCs w:val="32"/>
        </w:rPr>
      </w:pPr>
      <w:r>
        <w:rPr>
          <w:rFonts w:ascii="Times New Roman" w:eastAsia="楷体" w:hAnsi="Times New Roman"/>
          <w:b/>
          <w:sz w:val="32"/>
          <w:szCs w:val="32"/>
        </w:rPr>
        <w:t>（二）预拌混凝土行业</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1</w:t>
      </w:r>
      <w:r>
        <w:rPr>
          <w:rFonts w:ascii="Times New Roman" w:eastAsia="仿宋" w:hAnsi="Times New Roman"/>
          <w:sz w:val="32"/>
          <w:szCs w:val="32"/>
        </w:rPr>
        <w:t>、生产企业情况</w:t>
      </w:r>
    </w:p>
    <w:p w:rsidR="00D74912" w:rsidRDefault="00FE7708">
      <w:pPr>
        <w:spacing w:line="360" w:lineRule="auto"/>
        <w:ind w:firstLineChars="200" w:firstLine="640"/>
        <w:rPr>
          <w:rFonts w:ascii="Times New Roman" w:eastAsia="仿宋" w:hAnsi="Times New Roman"/>
          <w:sz w:val="28"/>
          <w:szCs w:val="28"/>
        </w:rPr>
      </w:pPr>
      <w:r>
        <w:rPr>
          <w:rFonts w:ascii="Times New Roman" w:eastAsia="仿宋" w:hAnsi="Times New Roman"/>
          <w:sz w:val="32"/>
          <w:szCs w:val="32"/>
        </w:rPr>
        <w:t>截止</w:t>
      </w:r>
      <w:r>
        <w:rPr>
          <w:rFonts w:ascii="Times New Roman" w:eastAsia="仿宋" w:hAnsi="Times New Roman"/>
          <w:sz w:val="32"/>
          <w:szCs w:val="32"/>
        </w:rPr>
        <w:t>2021</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月，全市具有合法的预拌混凝土专业承包资质企业共</w:t>
      </w:r>
      <w:r>
        <w:rPr>
          <w:rFonts w:ascii="Times New Roman" w:eastAsia="仿宋" w:hAnsi="Times New Roman"/>
          <w:sz w:val="32"/>
          <w:szCs w:val="32"/>
        </w:rPr>
        <w:t>47</w:t>
      </w:r>
      <w:r>
        <w:rPr>
          <w:rFonts w:ascii="Times New Roman" w:eastAsia="仿宋" w:hAnsi="Times New Roman"/>
          <w:sz w:val="32"/>
          <w:szCs w:val="32"/>
        </w:rPr>
        <w:t>家（</w:t>
      </w:r>
      <w:r>
        <w:rPr>
          <w:rFonts w:ascii="Times New Roman" w:eastAsia="仿宋" w:hAnsi="Times New Roman" w:hint="eastAsia"/>
          <w:sz w:val="32"/>
          <w:szCs w:val="32"/>
        </w:rPr>
        <w:t>其中，</w:t>
      </w:r>
      <w:r>
        <w:rPr>
          <w:rFonts w:ascii="Times New Roman" w:eastAsia="仿宋" w:hAnsi="Times New Roman"/>
          <w:sz w:val="32"/>
          <w:szCs w:val="32"/>
        </w:rPr>
        <w:t>2021</w:t>
      </w:r>
      <w:r>
        <w:rPr>
          <w:rFonts w:ascii="Times New Roman" w:eastAsia="仿宋" w:hAnsi="Times New Roman"/>
          <w:sz w:val="32"/>
          <w:szCs w:val="32"/>
        </w:rPr>
        <w:t>年新增</w:t>
      </w:r>
      <w:r>
        <w:rPr>
          <w:rFonts w:ascii="Times New Roman" w:eastAsia="仿宋" w:hAnsi="Times New Roman" w:hint="eastAsia"/>
          <w:sz w:val="32"/>
          <w:szCs w:val="32"/>
        </w:rPr>
        <w:t>有</w:t>
      </w:r>
      <w:r>
        <w:rPr>
          <w:rFonts w:ascii="Times New Roman" w:eastAsia="仿宋" w:hAnsi="Times New Roman"/>
          <w:sz w:val="32"/>
          <w:szCs w:val="32"/>
        </w:rPr>
        <w:t>3</w:t>
      </w:r>
      <w:r>
        <w:rPr>
          <w:rFonts w:ascii="Times New Roman" w:eastAsia="仿宋" w:hAnsi="Times New Roman"/>
          <w:sz w:val="32"/>
          <w:szCs w:val="32"/>
        </w:rPr>
        <w:t>家），设计总产能达</w:t>
      </w:r>
      <w:r>
        <w:rPr>
          <w:rFonts w:ascii="Times New Roman" w:eastAsia="仿宋" w:hAnsi="Times New Roman"/>
          <w:sz w:val="32"/>
          <w:szCs w:val="32"/>
        </w:rPr>
        <w:t>2375</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w:t>
      </w:r>
      <w:r>
        <w:rPr>
          <w:rFonts w:ascii="Times New Roman" w:eastAsia="仿宋" w:hAnsi="Times New Roman"/>
          <w:sz w:val="32"/>
          <w:szCs w:val="32"/>
        </w:rPr>
        <w:t>2020</w:t>
      </w:r>
      <w:r>
        <w:rPr>
          <w:rFonts w:ascii="Times New Roman" w:eastAsia="仿宋" w:hAnsi="Times New Roman"/>
          <w:sz w:val="32"/>
          <w:szCs w:val="32"/>
        </w:rPr>
        <w:t>年设计总产能</w:t>
      </w:r>
      <w:r>
        <w:rPr>
          <w:rFonts w:ascii="Times New Roman" w:eastAsia="仿宋" w:hAnsi="Times New Roman"/>
          <w:sz w:val="32"/>
          <w:szCs w:val="32"/>
        </w:rPr>
        <w:t>2285</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年），其中灵山县</w:t>
      </w:r>
      <w:r>
        <w:rPr>
          <w:rFonts w:ascii="Times New Roman" w:eastAsia="仿宋" w:hAnsi="Times New Roman"/>
          <w:sz w:val="32"/>
          <w:szCs w:val="32"/>
        </w:rPr>
        <w:t>14</w:t>
      </w:r>
      <w:r>
        <w:rPr>
          <w:rFonts w:ascii="Times New Roman" w:eastAsia="仿宋" w:hAnsi="Times New Roman"/>
          <w:sz w:val="32"/>
          <w:szCs w:val="32"/>
        </w:rPr>
        <w:t>家，设计总产能</w:t>
      </w:r>
      <w:r>
        <w:rPr>
          <w:rFonts w:ascii="Times New Roman" w:eastAsia="仿宋" w:hAnsi="Times New Roman"/>
          <w:sz w:val="32"/>
          <w:szCs w:val="32"/>
        </w:rPr>
        <w:t>630</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年；浦北县</w:t>
      </w:r>
      <w:r>
        <w:rPr>
          <w:rFonts w:ascii="Times New Roman" w:eastAsia="仿宋" w:hAnsi="Times New Roman"/>
          <w:sz w:val="32"/>
          <w:szCs w:val="32"/>
        </w:rPr>
        <w:t>10</w:t>
      </w:r>
      <w:r>
        <w:rPr>
          <w:rFonts w:ascii="Times New Roman" w:eastAsia="仿宋" w:hAnsi="Times New Roman"/>
          <w:sz w:val="32"/>
          <w:szCs w:val="32"/>
        </w:rPr>
        <w:t>家，设计总产能</w:t>
      </w:r>
      <w:r>
        <w:rPr>
          <w:rFonts w:ascii="Times New Roman" w:eastAsia="仿宋" w:hAnsi="Times New Roman"/>
          <w:sz w:val="32"/>
          <w:szCs w:val="32"/>
        </w:rPr>
        <w:t>290</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年；钦南区</w:t>
      </w:r>
      <w:r>
        <w:rPr>
          <w:rFonts w:ascii="Times New Roman" w:eastAsia="仿宋" w:hAnsi="Times New Roman"/>
          <w:sz w:val="32"/>
          <w:szCs w:val="32"/>
        </w:rPr>
        <w:t>17</w:t>
      </w:r>
      <w:r>
        <w:rPr>
          <w:rFonts w:ascii="Times New Roman" w:eastAsia="仿宋" w:hAnsi="Times New Roman"/>
          <w:sz w:val="32"/>
          <w:szCs w:val="32"/>
        </w:rPr>
        <w:t>家，设计总产能</w:t>
      </w:r>
      <w:r>
        <w:rPr>
          <w:rFonts w:ascii="Times New Roman" w:eastAsia="仿宋" w:hAnsi="Times New Roman"/>
          <w:sz w:val="32"/>
          <w:szCs w:val="32"/>
        </w:rPr>
        <w:t>1095</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年（其中钦州港区</w:t>
      </w:r>
      <w:r>
        <w:rPr>
          <w:rFonts w:ascii="Times New Roman" w:eastAsia="仿宋" w:hAnsi="Times New Roman"/>
          <w:sz w:val="32"/>
          <w:szCs w:val="32"/>
        </w:rPr>
        <w:t>8</w:t>
      </w:r>
      <w:r>
        <w:rPr>
          <w:rFonts w:ascii="Times New Roman" w:eastAsia="仿宋" w:hAnsi="Times New Roman"/>
          <w:sz w:val="32"/>
          <w:szCs w:val="32"/>
        </w:rPr>
        <w:t>家，设计总产能</w:t>
      </w:r>
      <w:r>
        <w:rPr>
          <w:rFonts w:ascii="Times New Roman" w:eastAsia="仿宋" w:hAnsi="Times New Roman"/>
          <w:sz w:val="32"/>
          <w:szCs w:val="32"/>
        </w:rPr>
        <w:t>480</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年）；钦北区</w:t>
      </w:r>
      <w:r>
        <w:rPr>
          <w:rFonts w:ascii="Times New Roman" w:eastAsia="仿宋" w:hAnsi="Times New Roman"/>
          <w:sz w:val="32"/>
          <w:szCs w:val="32"/>
        </w:rPr>
        <w:t>6</w:t>
      </w:r>
      <w:r>
        <w:rPr>
          <w:rFonts w:ascii="Times New Roman" w:eastAsia="仿宋" w:hAnsi="Times New Roman"/>
          <w:sz w:val="32"/>
          <w:szCs w:val="32"/>
        </w:rPr>
        <w:t>家，设计总产能</w:t>
      </w:r>
      <w:r>
        <w:rPr>
          <w:rFonts w:ascii="Times New Roman" w:eastAsia="仿宋" w:hAnsi="Times New Roman"/>
          <w:sz w:val="32"/>
          <w:szCs w:val="32"/>
        </w:rPr>
        <w:t>360</w:t>
      </w:r>
      <w:r>
        <w:rPr>
          <w:rFonts w:ascii="Times New Roman" w:eastAsia="仿宋" w:hAnsi="Times New Roman"/>
          <w:sz w:val="32"/>
          <w:szCs w:val="32"/>
        </w:rPr>
        <w:t>万立方米</w:t>
      </w:r>
      <w:r>
        <w:rPr>
          <w:rFonts w:ascii="Times New Roman" w:eastAsia="仿宋" w:hAnsi="Times New Roman"/>
          <w:sz w:val="32"/>
          <w:szCs w:val="32"/>
        </w:rPr>
        <w:t>/</w:t>
      </w:r>
      <w:r>
        <w:rPr>
          <w:rFonts w:ascii="Times New Roman" w:eastAsia="仿宋" w:hAnsi="Times New Roman"/>
          <w:sz w:val="32"/>
          <w:szCs w:val="32"/>
        </w:rPr>
        <w:t>年；各县、区预拌混凝土企业分布情况如表</w:t>
      </w:r>
      <w:r>
        <w:rPr>
          <w:rFonts w:ascii="Times New Roman" w:eastAsia="仿宋" w:hAnsi="Times New Roman" w:hint="eastAsia"/>
          <w:sz w:val="32"/>
          <w:szCs w:val="32"/>
        </w:rPr>
        <w:t>1</w:t>
      </w:r>
      <w:r>
        <w:rPr>
          <w:rFonts w:ascii="Times New Roman" w:eastAsia="仿宋" w:hAnsi="Times New Roman"/>
          <w:sz w:val="32"/>
          <w:szCs w:val="32"/>
        </w:rPr>
        <w:t>-1</w:t>
      </w:r>
      <w:r>
        <w:rPr>
          <w:rFonts w:ascii="Times New Roman" w:eastAsia="仿宋" w:hAnsi="Times New Roman"/>
          <w:sz w:val="32"/>
          <w:szCs w:val="32"/>
        </w:rPr>
        <w:t>所示。</w:t>
      </w:r>
    </w:p>
    <w:p w:rsidR="00D74912" w:rsidRDefault="00D74912">
      <w:pPr>
        <w:spacing w:line="360" w:lineRule="auto"/>
        <w:ind w:firstLineChars="200" w:firstLine="560"/>
        <w:rPr>
          <w:rFonts w:ascii="Times New Roman" w:eastAsia="仿宋" w:hAnsi="Times New Roman"/>
          <w:sz w:val="28"/>
          <w:szCs w:val="28"/>
        </w:rPr>
        <w:sectPr w:rsidR="00D74912">
          <w:pgSz w:w="11906" w:h="16838"/>
          <w:pgMar w:top="1440" w:right="1800" w:bottom="1440" w:left="1800" w:header="851" w:footer="992" w:gutter="0"/>
          <w:cols w:space="425"/>
          <w:docGrid w:type="lines" w:linePitch="312"/>
        </w:sectPr>
      </w:pPr>
    </w:p>
    <w:p w:rsidR="00D74912" w:rsidRDefault="00FE7708">
      <w:pPr>
        <w:spacing w:line="360" w:lineRule="auto"/>
        <w:ind w:firstLineChars="200" w:firstLine="482"/>
        <w:jc w:val="center"/>
        <w:rPr>
          <w:rFonts w:ascii="Times New Roman" w:eastAsia="仿宋" w:hAnsi="Times New Roman"/>
          <w:b/>
          <w:bCs/>
          <w:sz w:val="24"/>
          <w:szCs w:val="24"/>
        </w:rPr>
      </w:pPr>
      <w:r>
        <w:rPr>
          <w:rFonts w:ascii="Times New Roman" w:eastAsia="仿宋" w:hAnsi="Times New Roman"/>
          <w:b/>
          <w:bCs/>
          <w:sz w:val="24"/>
          <w:szCs w:val="24"/>
        </w:rPr>
        <w:lastRenderedPageBreak/>
        <w:t>表</w:t>
      </w:r>
      <w:r>
        <w:rPr>
          <w:rFonts w:ascii="Times New Roman" w:eastAsia="仿宋" w:hAnsi="Times New Roman"/>
          <w:b/>
          <w:bCs/>
          <w:sz w:val="24"/>
          <w:szCs w:val="24"/>
        </w:rPr>
        <w:t xml:space="preserve">1-1 </w:t>
      </w:r>
      <w:r>
        <w:rPr>
          <w:rFonts w:ascii="Times New Roman" w:eastAsia="仿宋" w:hAnsi="Times New Roman"/>
          <w:b/>
          <w:bCs/>
          <w:sz w:val="24"/>
          <w:szCs w:val="24"/>
        </w:rPr>
        <w:t>钦州市预拌混凝土生产企业统计</w:t>
      </w:r>
      <w:r>
        <w:rPr>
          <w:rFonts w:ascii="Times New Roman" w:eastAsia="仿宋" w:hAnsi="Times New Roman" w:hint="eastAsia"/>
          <w:b/>
          <w:bCs/>
          <w:sz w:val="24"/>
          <w:szCs w:val="24"/>
        </w:rPr>
        <w:t>汇总表</w:t>
      </w:r>
      <w:r>
        <w:rPr>
          <w:rFonts w:ascii="Times New Roman" w:eastAsia="仿宋" w:hAnsi="Times New Roman"/>
          <w:b/>
          <w:bCs/>
          <w:sz w:val="24"/>
          <w:szCs w:val="24"/>
        </w:rPr>
        <w:t>（截止</w:t>
      </w:r>
      <w:r>
        <w:rPr>
          <w:rFonts w:ascii="Times New Roman" w:eastAsia="仿宋" w:hAnsi="Times New Roman"/>
          <w:b/>
          <w:bCs/>
          <w:sz w:val="24"/>
          <w:szCs w:val="24"/>
        </w:rPr>
        <w:t>2021</w:t>
      </w:r>
      <w:r>
        <w:rPr>
          <w:rFonts w:ascii="Times New Roman" w:eastAsia="仿宋" w:hAnsi="Times New Roman"/>
          <w:b/>
          <w:bCs/>
          <w:sz w:val="24"/>
          <w:szCs w:val="24"/>
        </w:rPr>
        <w:t>年</w:t>
      </w:r>
      <w:r>
        <w:rPr>
          <w:rFonts w:ascii="Times New Roman" w:eastAsia="仿宋" w:hAnsi="Times New Roman"/>
          <w:b/>
          <w:bCs/>
          <w:sz w:val="24"/>
          <w:szCs w:val="24"/>
        </w:rPr>
        <w:t>10</w:t>
      </w:r>
      <w:r>
        <w:rPr>
          <w:rFonts w:ascii="Times New Roman" w:eastAsia="仿宋" w:hAnsi="Times New Roman"/>
          <w:b/>
          <w:bCs/>
          <w:sz w:val="24"/>
          <w:szCs w:val="24"/>
        </w:rPr>
        <w:t>月）</w:t>
      </w:r>
    </w:p>
    <w:tbl>
      <w:tblPr>
        <w:tblStyle w:val="a7"/>
        <w:tblW w:w="14685" w:type="dxa"/>
        <w:tblLayout w:type="fixed"/>
        <w:tblLook w:val="04A0"/>
      </w:tblPr>
      <w:tblGrid>
        <w:gridCol w:w="456"/>
        <w:gridCol w:w="609"/>
        <w:gridCol w:w="3885"/>
        <w:gridCol w:w="3690"/>
        <w:gridCol w:w="3405"/>
        <w:gridCol w:w="1695"/>
        <w:gridCol w:w="945"/>
      </w:tblGrid>
      <w:tr w:rsidR="00D74912">
        <w:tc>
          <w:tcPr>
            <w:tcW w:w="456"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地区</w:t>
            </w:r>
          </w:p>
        </w:tc>
        <w:tc>
          <w:tcPr>
            <w:tcW w:w="609"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序号</w:t>
            </w:r>
          </w:p>
        </w:tc>
        <w:tc>
          <w:tcPr>
            <w:tcW w:w="3885"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企业名称</w:t>
            </w:r>
          </w:p>
        </w:tc>
        <w:tc>
          <w:tcPr>
            <w:tcW w:w="3690"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地址</w:t>
            </w:r>
          </w:p>
        </w:tc>
        <w:tc>
          <w:tcPr>
            <w:tcW w:w="3405"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搅拌机型号</w:t>
            </w:r>
          </w:p>
        </w:tc>
        <w:tc>
          <w:tcPr>
            <w:tcW w:w="1695"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设计产能（万立方米</w:t>
            </w:r>
            <w:r>
              <w:rPr>
                <w:rFonts w:ascii="Times New Roman" w:eastAsia="仿宋" w:hAnsi="Times New Roman"/>
                <w:b/>
                <w:bCs/>
                <w:sz w:val="24"/>
                <w:szCs w:val="24"/>
              </w:rPr>
              <w:t>/</w:t>
            </w:r>
            <w:r>
              <w:rPr>
                <w:rFonts w:ascii="Times New Roman" w:eastAsia="仿宋" w:hAnsi="Times New Roman"/>
                <w:b/>
                <w:bCs/>
                <w:sz w:val="24"/>
                <w:szCs w:val="24"/>
              </w:rPr>
              <w:t>年</w:t>
            </w:r>
            <w:r>
              <w:rPr>
                <w:rFonts w:ascii="Times New Roman" w:eastAsia="仿宋" w:hAnsi="Times New Roman"/>
                <w:b/>
                <w:bCs/>
                <w:sz w:val="24"/>
                <w:szCs w:val="24"/>
              </w:rPr>
              <w:t>)</w:t>
            </w:r>
          </w:p>
        </w:tc>
        <w:tc>
          <w:tcPr>
            <w:tcW w:w="945"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备注</w:t>
            </w:r>
          </w:p>
        </w:tc>
      </w:tr>
      <w:tr w:rsidR="00D74912">
        <w:trPr>
          <w:trHeight w:val="90"/>
        </w:trPr>
        <w:tc>
          <w:tcPr>
            <w:tcW w:w="456"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w:t>
            </w: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灵山县冠峰水泥制品有限公司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灵山县新圩镇容家村委六云村</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灵山县明辉混凝土制品有限公司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灵山县灵城镇石龙村民委员会山敬生产队</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一套、</w:t>
            </w:r>
            <w:r>
              <w:rPr>
                <w:rFonts w:ascii="Times New Roman" w:eastAsia="仿宋" w:hAnsi="Times New Roman"/>
                <w:sz w:val="24"/>
                <w:szCs w:val="24"/>
              </w:rPr>
              <w:t>HZS120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50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广西灵山县金骏水泥制品有限公司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灵山县檀圩镇茶亭村委会那容岭队细分水旱坡地</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一套、</w:t>
            </w:r>
            <w:r>
              <w:rPr>
                <w:rFonts w:ascii="Times New Roman" w:eastAsia="仿宋" w:hAnsi="Times New Roman"/>
                <w:sz w:val="24"/>
                <w:szCs w:val="24"/>
              </w:rPr>
              <w:t>HZS120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50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灵山县建灵投资有限公司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灵山县檀圩镇见田村委会第</w:t>
            </w:r>
            <w:r>
              <w:rPr>
                <w:rFonts w:ascii="Times New Roman" w:eastAsia="仿宋" w:hAnsi="Times New Roman"/>
                <w:sz w:val="24"/>
                <w:szCs w:val="24"/>
              </w:rPr>
              <w:t>3</w:t>
            </w:r>
            <w:r>
              <w:rPr>
                <w:rFonts w:ascii="Times New Roman" w:eastAsia="仿宋" w:hAnsi="Times New Roman"/>
                <w:sz w:val="24"/>
                <w:szCs w:val="24"/>
              </w:rPr>
              <w:t>、</w:t>
            </w:r>
            <w:r>
              <w:rPr>
                <w:rFonts w:ascii="Times New Roman" w:eastAsia="仿宋" w:hAnsi="Times New Roman"/>
                <w:sz w:val="24"/>
                <w:szCs w:val="24"/>
              </w:rPr>
              <w:t>4</w:t>
            </w:r>
            <w:r>
              <w:rPr>
                <w:rFonts w:ascii="Times New Roman" w:eastAsia="仿宋" w:hAnsi="Times New Roman"/>
                <w:sz w:val="24"/>
                <w:szCs w:val="24"/>
              </w:rPr>
              <w:t>队晚塘</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5</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灵山县冠峰陆屋混凝土有限公司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灵山县工业区陆屋工业园茶场片区内</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灵山县利海水泥制品有限公司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灵山县工业区武利工业园</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w:t>
            </w:r>
            <w:r>
              <w:rPr>
                <w:rFonts w:ascii="Times New Roman" w:eastAsia="仿宋" w:hAnsi="Times New Roman"/>
                <w:sz w:val="24"/>
                <w:szCs w:val="24"/>
              </w:rPr>
              <w:t>2</w:t>
            </w:r>
            <w:r>
              <w:rPr>
                <w:rFonts w:ascii="Times New Roman" w:eastAsia="仿宋" w:hAnsi="Times New Roman"/>
                <w:sz w:val="24"/>
                <w:szCs w:val="24"/>
              </w:rPr>
              <w:t>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7</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灵山县利海投资有限公司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灵山县平南镇驾马村</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w:t>
            </w:r>
            <w:r>
              <w:rPr>
                <w:rFonts w:ascii="Times New Roman" w:eastAsia="仿宋" w:hAnsi="Times New Roman"/>
                <w:sz w:val="24"/>
                <w:szCs w:val="24"/>
              </w:rPr>
              <w:t>2</w:t>
            </w:r>
            <w:r>
              <w:rPr>
                <w:rFonts w:ascii="Times New Roman" w:eastAsia="仿宋" w:hAnsi="Times New Roman"/>
                <w:sz w:val="24"/>
                <w:szCs w:val="24"/>
              </w:rPr>
              <w:t>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8</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灵山县建灵水泥制品有限公司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灵山县沙坪镇双六村委会原民仓仓库</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9</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灵山县华源混凝土有限公司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灵山县武利镇龙塘村委范冲塘</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HZS180C8</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10</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灵山县路路通混凝土有限公司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灵山县三海街道大塘村委扬屋岭</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w:t>
            </w:r>
            <w:r>
              <w:rPr>
                <w:rFonts w:ascii="Times New Roman" w:eastAsia="仿宋" w:hAnsi="Times New Roman"/>
                <w:sz w:val="24"/>
                <w:szCs w:val="24"/>
              </w:rPr>
              <w:t>2</w:t>
            </w:r>
            <w:r>
              <w:rPr>
                <w:rFonts w:ascii="Times New Roman" w:eastAsia="仿宋" w:hAnsi="Times New Roman"/>
                <w:sz w:val="24"/>
                <w:szCs w:val="24"/>
              </w:rPr>
              <w:t>台）</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11</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广西灵山晶钻混凝土有限公司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灵山县太平镇大利村马练坪</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12</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灵山县汉兴混凝土有限公司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石塘镇</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2021</w:t>
            </w:r>
            <w:r>
              <w:rPr>
                <w:rFonts w:ascii="Times New Roman" w:eastAsia="仿宋" w:hAnsi="Times New Roman"/>
                <w:sz w:val="24"/>
                <w:szCs w:val="24"/>
              </w:rPr>
              <w:t>年新增</w:t>
            </w: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13</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灵山县华泰混凝土有限公司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旧州镇</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14</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灵山县建盛混凝土有限责任公司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三隆镇</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一套）、</w:t>
            </w:r>
            <w:r>
              <w:rPr>
                <w:rFonts w:ascii="Times New Roman" w:eastAsia="仿宋" w:hAnsi="Times New Roman"/>
                <w:sz w:val="24"/>
                <w:szCs w:val="24"/>
              </w:rPr>
              <w:t>HZS180(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50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w:t>
            </w: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15</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浦北县华源混凝土有限公司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浦北县张黄镇学堂村委（工业区）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w:t>
            </w:r>
            <w:r>
              <w:rPr>
                <w:rFonts w:ascii="Times New Roman" w:eastAsia="仿宋" w:hAnsi="Times New Roman"/>
                <w:sz w:val="24"/>
                <w:szCs w:val="24"/>
              </w:rPr>
              <w:t>2</w:t>
            </w:r>
            <w:r>
              <w:rPr>
                <w:rFonts w:ascii="Times New Roman" w:eastAsia="仿宋" w:hAnsi="Times New Roman"/>
                <w:sz w:val="24"/>
                <w:szCs w:val="24"/>
              </w:rPr>
              <w:t>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16</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浦北县华源建材有限公司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浦北县龙门镇高明村</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HZS180C8</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17</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浦北县海特建材有限公司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浦北县小江镇绕城二级公路边</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18</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浦北县绿宝石混凝土有限公司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浦北县城工业区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三套）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19</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浦北县诚华建材有限公司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浦北县乐民镇地</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MAO 3000/2000   SDYCO</w:t>
            </w:r>
            <w:r>
              <w:rPr>
                <w:rFonts w:ascii="Times New Roman" w:eastAsia="仿宋" w:hAnsi="Times New Roman"/>
                <w:sz w:val="24"/>
                <w:szCs w:val="24"/>
              </w:rPr>
              <w:t>（</w:t>
            </w:r>
            <w:r>
              <w:rPr>
                <w:rFonts w:ascii="Times New Roman" w:eastAsia="仿宋" w:hAnsi="Times New Roman"/>
                <w:sz w:val="24"/>
                <w:szCs w:val="24"/>
              </w:rPr>
              <w:t>1</w:t>
            </w:r>
            <w:r>
              <w:rPr>
                <w:rFonts w:ascii="Times New Roman" w:eastAsia="仿宋" w:hAnsi="Times New Roman"/>
                <w:sz w:val="24"/>
                <w:szCs w:val="24"/>
              </w:rPr>
              <w:t>台）</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浦北绿宝石大江口搅拌站</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浦北县寨圩镇</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21</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浦北县源源建材有限公司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浦北县寨圩镇城东工业区独珠坡碗厂</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南方路机</w:t>
            </w:r>
            <w:r>
              <w:rPr>
                <w:rFonts w:ascii="Times New Roman" w:eastAsia="仿宋" w:hAnsi="Times New Roman"/>
                <w:sz w:val="24"/>
                <w:szCs w:val="24"/>
              </w:rPr>
              <w:t>sL120</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22</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浦北县弘利混凝土有限公司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浦北县乐民镇平佳六黎小区</w:t>
            </w:r>
            <w:r>
              <w:rPr>
                <w:rFonts w:ascii="Times New Roman" w:eastAsia="仿宋" w:hAnsi="Times New Roman"/>
                <w:sz w:val="24"/>
                <w:szCs w:val="24"/>
              </w:rPr>
              <w:t>8</w:t>
            </w:r>
            <w:r>
              <w:rPr>
                <w:rFonts w:ascii="Times New Roman" w:eastAsia="仿宋" w:hAnsi="Times New Roman"/>
                <w:sz w:val="24"/>
                <w:szCs w:val="24"/>
              </w:rPr>
              <w:t>号</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23</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浦北县东辰混凝土有限公司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浦北县福旺镇福旺村委会三叉塘</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Hzs120f8</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24</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浦北县永固混凝土有限公司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浦北县小江镇东滨路</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MAO 3000/2000   SDYCO</w:t>
            </w:r>
            <w:r>
              <w:rPr>
                <w:rFonts w:ascii="Times New Roman" w:eastAsia="仿宋" w:hAnsi="Times New Roman"/>
                <w:sz w:val="24"/>
                <w:szCs w:val="24"/>
              </w:rPr>
              <w:t>（</w:t>
            </w:r>
            <w:r>
              <w:rPr>
                <w:rFonts w:ascii="Times New Roman" w:eastAsia="仿宋" w:hAnsi="Times New Roman"/>
                <w:sz w:val="24"/>
                <w:szCs w:val="24"/>
              </w:rPr>
              <w:t>1</w:t>
            </w:r>
            <w:r>
              <w:rPr>
                <w:rFonts w:ascii="Times New Roman" w:eastAsia="仿宋" w:hAnsi="Times New Roman"/>
                <w:sz w:val="24"/>
                <w:szCs w:val="24"/>
              </w:rPr>
              <w:t>台）</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钦北区</w:t>
            </w: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25</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广西怡园建材有限公司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钦州市钦北区皇马工业园区一区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JS3000XD</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26</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华润混凝土（钦州）有限公司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钦州市钦北区皇马工业园区一区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二套）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27</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广西开鑫建材有限公司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钦州市钦北区皇马工业园区四区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HBC120</w:t>
            </w:r>
            <w:r>
              <w:rPr>
                <w:rFonts w:ascii="Times New Roman" w:eastAsia="仿宋" w:hAnsi="Times New Roman"/>
                <w:sz w:val="24"/>
                <w:szCs w:val="24"/>
              </w:rPr>
              <w:t>两套，</w:t>
            </w:r>
            <w:r>
              <w:rPr>
                <w:rFonts w:ascii="Times New Roman" w:eastAsia="仿宋" w:hAnsi="Times New Roman"/>
                <w:sz w:val="24"/>
                <w:szCs w:val="24"/>
              </w:rPr>
              <w:t>HBC180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70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28</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钦州市福联建材有限公司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钦州市钦北区大垌镇旧钦师</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 xml:space="preserve">MAO 6750/4500   SDYCO—ZLS—17 </w:t>
            </w:r>
            <w:r>
              <w:rPr>
                <w:rFonts w:ascii="Times New Roman" w:eastAsia="仿宋" w:hAnsi="Times New Roman"/>
                <w:sz w:val="24"/>
                <w:szCs w:val="24"/>
              </w:rPr>
              <w:t>（两台）</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90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29</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广西中德兴新型建材有限公司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钦州市钦北区皇马工业园</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广西钦州市伟顺混凝土有限公司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钦州市钦北区小董镇茶山村</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HZS120VG</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rPr>
          <w:trHeight w:val="941"/>
        </w:trPr>
        <w:tc>
          <w:tcPr>
            <w:tcW w:w="456"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钦南区</w:t>
            </w:r>
          </w:p>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31</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广西桂建混凝土有限公司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钦州市钦南区黎合江工业园一区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三一重工</w:t>
            </w:r>
            <w:r>
              <w:rPr>
                <w:rFonts w:ascii="Times New Roman" w:eastAsia="仿宋" w:hAnsi="Times New Roman"/>
                <w:sz w:val="24"/>
                <w:szCs w:val="24"/>
              </w:rPr>
              <w:t>JS3000E</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32</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钦州市海特混凝土有限公司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钦州市黎合江钦陆公路交通基地</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w:t>
            </w:r>
            <w:r>
              <w:rPr>
                <w:rFonts w:ascii="Times New Roman" w:eastAsia="仿宋" w:hAnsi="Times New Roman"/>
                <w:sz w:val="24"/>
                <w:szCs w:val="24"/>
              </w:rPr>
              <w:t>1</w:t>
            </w:r>
            <w:r>
              <w:rPr>
                <w:rFonts w:ascii="Times New Roman" w:eastAsia="仿宋" w:hAnsi="Times New Roman"/>
                <w:sz w:val="24"/>
                <w:szCs w:val="24"/>
              </w:rPr>
              <w:t>台）、</w:t>
            </w:r>
            <w:r>
              <w:rPr>
                <w:rFonts w:ascii="Times New Roman" w:eastAsia="仿宋" w:hAnsi="Times New Roman"/>
                <w:sz w:val="24"/>
                <w:szCs w:val="24"/>
              </w:rPr>
              <w:t>HZS240</w:t>
            </w:r>
            <w:r>
              <w:rPr>
                <w:rFonts w:ascii="Times New Roman" w:eastAsia="仿宋" w:hAnsi="Times New Roman"/>
                <w:sz w:val="24"/>
                <w:szCs w:val="24"/>
              </w:rPr>
              <w:t>（</w:t>
            </w:r>
            <w:r>
              <w:rPr>
                <w:rFonts w:ascii="Times New Roman" w:eastAsia="仿宋" w:hAnsi="Times New Roman"/>
                <w:sz w:val="24"/>
                <w:szCs w:val="24"/>
              </w:rPr>
              <w:t>1</w:t>
            </w:r>
            <w:r>
              <w:rPr>
                <w:rFonts w:ascii="Times New Roman" w:eastAsia="仿宋" w:hAnsi="Times New Roman"/>
                <w:sz w:val="24"/>
                <w:szCs w:val="24"/>
              </w:rPr>
              <w:t>台）</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70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33</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钦州市广联混凝土有限公司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钦州市钦南区黄屋屯工业走廊</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MAO 6750/4500 SDYCO—ZLS</w:t>
            </w:r>
            <w:r>
              <w:rPr>
                <w:rFonts w:ascii="Times New Roman" w:eastAsia="仿宋" w:hAnsi="Times New Roman"/>
                <w:sz w:val="24"/>
                <w:szCs w:val="24"/>
              </w:rPr>
              <w:t>（</w:t>
            </w:r>
            <w:r>
              <w:rPr>
                <w:rFonts w:ascii="Times New Roman" w:eastAsia="仿宋" w:hAnsi="Times New Roman"/>
                <w:sz w:val="24"/>
                <w:szCs w:val="24"/>
              </w:rPr>
              <w:t>1</w:t>
            </w:r>
            <w:r>
              <w:rPr>
                <w:rFonts w:ascii="Times New Roman" w:eastAsia="仿宋" w:hAnsi="Times New Roman"/>
                <w:sz w:val="24"/>
                <w:szCs w:val="24"/>
              </w:rPr>
              <w:t>台）；</w:t>
            </w:r>
            <w:r>
              <w:rPr>
                <w:rFonts w:ascii="Times New Roman" w:eastAsia="仿宋" w:hAnsi="Times New Roman"/>
                <w:sz w:val="24"/>
                <w:szCs w:val="24"/>
              </w:rPr>
              <w:t>SICOMAHZS300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105</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34</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钦州市长荣混凝土有限公司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钦州市黎合江工业园一区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MA0 4500/3000 SDYC0</w:t>
            </w:r>
            <w:r>
              <w:rPr>
                <w:rFonts w:ascii="Times New Roman" w:eastAsia="仿宋" w:hAnsi="Times New Roman"/>
                <w:sz w:val="24"/>
                <w:szCs w:val="24"/>
              </w:rPr>
              <w:t>（一</w:t>
            </w:r>
            <w:r>
              <w:rPr>
                <w:rFonts w:ascii="Times New Roman" w:eastAsia="仿宋" w:hAnsi="Times New Roman"/>
                <w:sz w:val="24"/>
                <w:szCs w:val="24"/>
              </w:rPr>
              <w:lastRenderedPageBreak/>
              <w:t>套）、</w:t>
            </w:r>
            <w:r>
              <w:rPr>
                <w:rFonts w:ascii="Times New Roman" w:eastAsia="仿宋" w:hAnsi="Times New Roman"/>
                <w:sz w:val="24"/>
                <w:szCs w:val="24"/>
              </w:rPr>
              <w:t>JS3000</w:t>
            </w:r>
            <w:r>
              <w:rPr>
                <w:rFonts w:ascii="Times New Roman" w:eastAsia="仿宋" w:hAnsi="Times New Roman"/>
                <w:sz w:val="24"/>
                <w:szCs w:val="24"/>
              </w:rPr>
              <w:t>（一套）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lastRenderedPageBreak/>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35</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北部湾混凝土有限公司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钦州市钦南区黎合江工业园</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36</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钦州市华盛混凝土有限公司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钦州市进口资源加工区钦南片区西南面、钦犀二级公路西侧</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MA04500/3000SDSH0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37</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钦州市宏冠建筑材料有限公司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钦州市康熙岭镇西围村委钦黄公路入口旁</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HZS240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80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38</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广西智朗商品混凝土有限公司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钦州市黎合江工业园一区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（三套）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rPr>
          <w:trHeight w:val="627"/>
        </w:trPr>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39</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钦州市中德顺新型建筑材料有限公司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钦州市钦南区大番坡葵子小区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40</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钦州市桂建建材有限公司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钦州港区兴港路东油对面</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JS3000E</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钦州港</w:t>
            </w: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41</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广西宏泰投资有限公司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钦州港鹿耳环大桥</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42</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钦州港永固混凝土公司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钦州港招商大厦四楼</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43</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钦州临海混凝土有限公司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钦州市钦州港勒沟作业区</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44</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钦州市华德建材有限公司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广西中马钦州产业园启动区</w:t>
            </w:r>
            <w:r>
              <w:rPr>
                <w:rFonts w:ascii="Times New Roman" w:eastAsia="仿宋" w:hAnsi="Times New Roman"/>
                <w:sz w:val="24"/>
                <w:szCs w:val="24"/>
              </w:rPr>
              <w:t>D-05-02</w:t>
            </w:r>
            <w:r>
              <w:rPr>
                <w:rFonts w:ascii="Times New Roman" w:eastAsia="仿宋" w:hAnsi="Times New Roman"/>
                <w:sz w:val="24"/>
                <w:szCs w:val="24"/>
              </w:rPr>
              <w:t>地块</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45</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华润勒沟混凝土有限公司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钦州市钦州港金鼓江西岸（广西志得实业有限公司房屋）</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HZS180(</w:t>
            </w:r>
            <w:r>
              <w:rPr>
                <w:rFonts w:ascii="Times New Roman" w:eastAsia="仿宋" w:hAnsi="Times New Roman"/>
                <w:sz w:val="24"/>
                <w:szCs w:val="24"/>
              </w:rPr>
              <w:t>二套）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46</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广西中马钦州产业园区孔雀湾混凝土有限公司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广西中马钦州产业园</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JS3000E</w:t>
            </w:r>
            <w:r>
              <w:rPr>
                <w:rFonts w:ascii="Times New Roman" w:eastAsia="仿宋" w:hAnsi="Times New Roman"/>
                <w:sz w:val="24"/>
                <w:szCs w:val="24"/>
              </w:rPr>
              <w:t>（两套）</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r w:rsidR="00D74912">
        <w:tc>
          <w:tcPr>
            <w:tcW w:w="456" w:type="dxa"/>
            <w:vMerge/>
            <w:vAlign w:val="center"/>
          </w:tcPr>
          <w:p w:rsidR="00D74912" w:rsidRDefault="00D74912">
            <w:pPr>
              <w:adjustRightInd w:val="0"/>
              <w:snapToGrid w:val="0"/>
              <w:jc w:val="center"/>
              <w:rPr>
                <w:rFonts w:ascii="Times New Roman" w:eastAsia="仿宋" w:hAnsi="Times New Roman"/>
                <w:sz w:val="24"/>
                <w:szCs w:val="24"/>
              </w:rPr>
            </w:pPr>
          </w:p>
        </w:tc>
        <w:tc>
          <w:tcPr>
            <w:tcW w:w="60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47</w:t>
            </w:r>
          </w:p>
        </w:tc>
        <w:tc>
          <w:tcPr>
            <w:tcW w:w="38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钦州市钦州港志得混凝土有限公司</w:t>
            </w:r>
          </w:p>
        </w:tc>
        <w:tc>
          <w:tcPr>
            <w:tcW w:w="3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钦州港金鼓江西岸</w:t>
            </w:r>
          </w:p>
        </w:tc>
        <w:tc>
          <w:tcPr>
            <w:tcW w:w="340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中联重科</w:t>
            </w:r>
            <w:r>
              <w:rPr>
                <w:rFonts w:ascii="Times New Roman" w:eastAsia="仿宋" w:hAnsi="Times New Roman"/>
                <w:sz w:val="24"/>
                <w:szCs w:val="24"/>
              </w:rPr>
              <w:t>JS3000-ZHZS180(</w:t>
            </w:r>
            <w:r>
              <w:rPr>
                <w:rFonts w:ascii="Times New Roman" w:eastAsia="仿宋" w:hAnsi="Times New Roman"/>
                <w:sz w:val="24"/>
                <w:szCs w:val="24"/>
              </w:rPr>
              <w:t>两套</w:t>
            </w:r>
            <w:r>
              <w:rPr>
                <w:rFonts w:ascii="Times New Roman" w:eastAsia="仿宋" w:hAnsi="Times New Roman"/>
                <w:sz w:val="24"/>
                <w:szCs w:val="24"/>
              </w:rPr>
              <w:t>)</w:t>
            </w:r>
          </w:p>
        </w:tc>
        <w:tc>
          <w:tcPr>
            <w:tcW w:w="169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60</w:t>
            </w:r>
          </w:p>
        </w:tc>
        <w:tc>
          <w:tcPr>
            <w:tcW w:w="945" w:type="dxa"/>
            <w:vMerge/>
            <w:vAlign w:val="center"/>
          </w:tcPr>
          <w:p w:rsidR="00D74912" w:rsidRDefault="00D74912">
            <w:pPr>
              <w:adjustRightInd w:val="0"/>
              <w:snapToGrid w:val="0"/>
              <w:jc w:val="center"/>
              <w:rPr>
                <w:rFonts w:ascii="Times New Roman" w:eastAsia="仿宋" w:hAnsi="Times New Roman"/>
                <w:sz w:val="24"/>
                <w:szCs w:val="24"/>
              </w:rPr>
            </w:pPr>
          </w:p>
        </w:tc>
      </w:tr>
    </w:tbl>
    <w:p w:rsidR="00D74912" w:rsidRDefault="00FE7708">
      <w:pPr>
        <w:spacing w:line="360" w:lineRule="auto"/>
        <w:rPr>
          <w:rFonts w:ascii="Times New Roman" w:eastAsia="仿宋" w:hAnsi="Times New Roman"/>
          <w:sz w:val="28"/>
          <w:szCs w:val="28"/>
        </w:rPr>
      </w:pPr>
      <w:r>
        <w:rPr>
          <w:rFonts w:ascii="Times New Roman" w:eastAsia="仿宋" w:hAnsi="Times New Roman"/>
          <w:szCs w:val="21"/>
        </w:rPr>
        <w:t>备注：设计产能根据《预拌混凝土搅拌站（楼）产能核定方法》（</w:t>
      </w:r>
      <w:r>
        <w:rPr>
          <w:rFonts w:ascii="Times New Roman" w:eastAsia="仿宋" w:hAnsi="Times New Roman"/>
          <w:szCs w:val="21"/>
        </w:rPr>
        <w:t>T/CBMF126—2021/T/CCPA21—2021</w:t>
      </w:r>
      <w:r>
        <w:rPr>
          <w:rFonts w:ascii="Times New Roman" w:eastAsia="仿宋" w:hAnsi="Times New Roman"/>
          <w:szCs w:val="21"/>
        </w:rPr>
        <w:t>）计算。</w:t>
      </w:r>
    </w:p>
    <w:p w:rsidR="00D74912" w:rsidRDefault="00D74912">
      <w:pPr>
        <w:pStyle w:val="2"/>
        <w:rPr>
          <w:rFonts w:ascii="Times New Roman" w:eastAsia="仿宋" w:hAnsi="Times New Roman"/>
          <w:sz w:val="28"/>
          <w:szCs w:val="28"/>
        </w:rPr>
        <w:sectPr w:rsidR="00D74912">
          <w:pgSz w:w="16838" w:h="11906" w:orient="landscape"/>
          <w:pgMar w:top="1800" w:right="1440" w:bottom="1800" w:left="1440" w:header="851" w:footer="992" w:gutter="0"/>
          <w:cols w:space="425"/>
          <w:docGrid w:type="lines" w:linePitch="312"/>
        </w:sectPr>
      </w:pPr>
    </w:p>
    <w:p w:rsidR="00D74912" w:rsidRDefault="00FE7708">
      <w:pPr>
        <w:spacing w:line="360" w:lineRule="auto"/>
        <w:jc w:val="center"/>
        <w:rPr>
          <w:rFonts w:ascii="Times New Roman" w:eastAsia="仿宋" w:hAnsi="Times New Roman"/>
          <w:sz w:val="28"/>
          <w:szCs w:val="28"/>
        </w:rPr>
      </w:pPr>
      <w:r>
        <w:rPr>
          <w:rFonts w:ascii="Times New Roman" w:eastAsia="仿宋" w:hAnsi="Times New Roman"/>
          <w:noProof/>
          <w:sz w:val="28"/>
          <w:szCs w:val="28"/>
        </w:rPr>
        <w:lastRenderedPageBreak/>
        <w:drawing>
          <wp:inline distT="0" distB="0" distL="114300" distR="114300">
            <wp:extent cx="7021195" cy="5166360"/>
            <wp:effectExtent l="0" t="0" r="1905" b="2540"/>
            <wp:docPr id="6" name="图片 6" descr="李工改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李工改图 - 副本"/>
                    <pic:cNvPicPr>
                      <a:picLocks noChangeAspect="1"/>
                    </pic:cNvPicPr>
                  </pic:nvPicPr>
                  <pic:blipFill>
                    <a:blip r:embed="rId12"/>
                    <a:stretch>
                      <a:fillRect/>
                    </a:stretch>
                  </pic:blipFill>
                  <pic:spPr>
                    <a:xfrm>
                      <a:off x="0" y="0"/>
                      <a:ext cx="7021195" cy="5166360"/>
                    </a:xfrm>
                    <a:prstGeom prst="rect">
                      <a:avLst/>
                    </a:prstGeom>
                  </pic:spPr>
                </pic:pic>
              </a:graphicData>
            </a:graphic>
          </wp:inline>
        </w:drawing>
      </w:r>
    </w:p>
    <w:p w:rsidR="00D74912" w:rsidRDefault="00FE7708">
      <w:pPr>
        <w:adjustRightInd w:val="0"/>
        <w:snapToGrid w:val="0"/>
        <w:jc w:val="center"/>
        <w:rPr>
          <w:rFonts w:ascii="Times New Roman" w:eastAsia="仿宋_GB2312" w:hAnsi="Times New Roman"/>
          <w:b/>
          <w:bCs/>
          <w:sz w:val="24"/>
          <w:szCs w:val="24"/>
        </w:rPr>
      </w:pPr>
      <w:r>
        <w:rPr>
          <w:rFonts w:ascii="Times New Roman" w:eastAsia="仿宋" w:hAnsi="Times New Roman"/>
          <w:b/>
          <w:bCs/>
          <w:sz w:val="24"/>
          <w:szCs w:val="24"/>
        </w:rPr>
        <w:t>图</w:t>
      </w:r>
      <w:r>
        <w:rPr>
          <w:rFonts w:ascii="Times New Roman" w:eastAsia="仿宋" w:hAnsi="Times New Roman" w:hint="eastAsia"/>
          <w:b/>
          <w:bCs/>
          <w:sz w:val="24"/>
          <w:szCs w:val="24"/>
        </w:rPr>
        <w:t>1</w:t>
      </w:r>
      <w:r>
        <w:rPr>
          <w:rFonts w:ascii="Times New Roman" w:eastAsia="仿宋" w:hAnsi="Times New Roman"/>
          <w:b/>
          <w:bCs/>
          <w:sz w:val="24"/>
          <w:szCs w:val="24"/>
        </w:rPr>
        <w:t>-1</w:t>
      </w:r>
      <w:r>
        <w:rPr>
          <w:rFonts w:ascii="Times New Roman" w:eastAsia="仿宋" w:hAnsi="Times New Roman"/>
          <w:b/>
          <w:bCs/>
          <w:sz w:val="24"/>
          <w:szCs w:val="24"/>
        </w:rPr>
        <w:t>钦州市现有预拌混凝土生产企业分布图（截止</w:t>
      </w:r>
      <w:r>
        <w:rPr>
          <w:rFonts w:ascii="Times New Roman" w:eastAsia="仿宋" w:hAnsi="Times New Roman"/>
          <w:b/>
          <w:bCs/>
          <w:sz w:val="24"/>
          <w:szCs w:val="24"/>
        </w:rPr>
        <w:t>2021</w:t>
      </w:r>
      <w:r>
        <w:rPr>
          <w:rFonts w:ascii="Times New Roman" w:eastAsia="仿宋" w:hAnsi="Times New Roman"/>
          <w:b/>
          <w:bCs/>
          <w:sz w:val="24"/>
          <w:szCs w:val="24"/>
        </w:rPr>
        <w:t>年</w:t>
      </w:r>
      <w:r>
        <w:rPr>
          <w:rFonts w:ascii="Times New Roman" w:eastAsia="仿宋" w:hAnsi="Times New Roman"/>
          <w:b/>
          <w:bCs/>
          <w:sz w:val="24"/>
          <w:szCs w:val="24"/>
        </w:rPr>
        <w:t>10</w:t>
      </w:r>
      <w:r>
        <w:rPr>
          <w:rFonts w:ascii="Times New Roman" w:eastAsia="仿宋" w:hAnsi="Times New Roman"/>
          <w:b/>
          <w:bCs/>
          <w:sz w:val="24"/>
          <w:szCs w:val="24"/>
        </w:rPr>
        <w:t>月）</w:t>
      </w:r>
    </w:p>
    <w:p w:rsidR="00D74912" w:rsidRDefault="00D74912">
      <w:pPr>
        <w:spacing w:line="360" w:lineRule="auto"/>
        <w:ind w:firstLineChars="200" w:firstLine="640"/>
        <w:rPr>
          <w:rFonts w:ascii="Times New Roman" w:eastAsia="仿宋" w:hAnsi="Times New Roman"/>
          <w:sz w:val="32"/>
          <w:szCs w:val="32"/>
        </w:rPr>
        <w:sectPr w:rsidR="00D74912">
          <w:pgSz w:w="16838" w:h="11906" w:orient="landscape"/>
          <w:pgMar w:top="1417" w:right="1440" w:bottom="1417" w:left="1440" w:header="851" w:footer="992" w:gutter="0"/>
          <w:cols w:space="425"/>
          <w:docGrid w:type="lines" w:linePitch="312"/>
        </w:sectPr>
      </w:pP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lastRenderedPageBreak/>
        <w:t>2</w:t>
      </w:r>
      <w:r>
        <w:rPr>
          <w:rFonts w:ascii="Times New Roman" w:eastAsia="仿宋" w:hAnsi="Times New Roman"/>
          <w:sz w:val="32"/>
          <w:szCs w:val="32"/>
        </w:rPr>
        <w:t>、产能利用率情况</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2020</w:t>
      </w:r>
      <w:r>
        <w:rPr>
          <w:rFonts w:ascii="Times New Roman" w:eastAsia="仿宋" w:hAnsi="Times New Roman"/>
          <w:sz w:val="32"/>
          <w:szCs w:val="32"/>
        </w:rPr>
        <w:t>年钦州市</w:t>
      </w:r>
      <w:r>
        <w:rPr>
          <w:rFonts w:ascii="Times New Roman" w:eastAsia="仿宋" w:hAnsi="Times New Roman" w:hint="eastAsia"/>
          <w:sz w:val="32"/>
          <w:szCs w:val="32"/>
        </w:rPr>
        <w:t>预拌</w:t>
      </w:r>
      <w:r>
        <w:rPr>
          <w:rFonts w:ascii="Times New Roman" w:eastAsia="仿宋" w:hAnsi="Times New Roman"/>
          <w:sz w:val="32"/>
          <w:szCs w:val="32"/>
        </w:rPr>
        <w:t>混凝土用量</w:t>
      </w:r>
      <w:r>
        <w:rPr>
          <w:rFonts w:ascii="Times New Roman" w:eastAsia="仿宋" w:hAnsi="Times New Roman" w:hint="eastAsia"/>
          <w:sz w:val="32"/>
          <w:szCs w:val="32"/>
        </w:rPr>
        <w:t>为</w:t>
      </w:r>
      <w:r>
        <w:rPr>
          <w:rFonts w:ascii="Times New Roman" w:eastAsia="仿宋" w:hAnsi="Times New Roman"/>
          <w:sz w:val="32"/>
          <w:szCs w:val="32"/>
        </w:rPr>
        <w:t>686</w:t>
      </w:r>
      <w:r>
        <w:rPr>
          <w:rFonts w:ascii="Times New Roman" w:eastAsia="仿宋" w:hAnsi="Times New Roman"/>
          <w:sz w:val="32"/>
          <w:szCs w:val="32"/>
        </w:rPr>
        <w:t>万立方米，同比增长</w:t>
      </w:r>
      <w:r>
        <w:rPr>
          <w:rFonts w:ascii="Times New Roman" w:eastAsia="仿宋" w:hAnsi="Times New Roman"/>
          <w:sz w:val="32"/>
          <w:szCs w:val="32"/>
        </w:rPr>
        <w:t>68%</w:t>
      </w:r>
      <w:r>
        <w:rPr>
          <w:rFonts w:ascii="Times New Roman" w:eastAsia="仿宋" w:hAnsi="Times New Roman" w:hint="eastAsia"/>
          <w:sz w:val="32"/>
          <w:szCs w:val="32"/>
        </w:rPr>
        <w:t>（与下页</w:t>
      </w:r>
      <w:r>
        <w:rPr>
          <w:rFonts w:ascii="Times New Roman" w:eastAsia="仿宋" w:hAnsi="Times New Roman" w:hint="eastAsia"/>
          <w:sz w:val="32"/>
          <w:szCs w:val="32"/>
        </w:rPr>
        <w:t>40%</w:t>
      </w:r>
      <w:r>
        <w:rPr>
          <w:rFonts w:ascii="Times New Roman" w:eastAsia="仿宋" w:hAnsi="Times New Roman" w:hint="eastAsia"/>
          <w:sz w:val="32"/>
          <w:szCs w:val="32"/>
        </w:rPr>
        <w:t>矛盾）</w:t>
      </w:r>
      <w:r>
        <w:rPr>
          <w:rFonts w:ascii="Times New Roman" w:eastAsia="仿宋" w:hAnsi="Times New Roman"/>
          <w:sz w:val="32"/>
          <w:szCs w:val="32"/>
        </w:rPr>
        <w:t>，</w:t>
      </w:r>
      <w:r>
        <w:rPr>
          <w:rFonts w:ascii="Times New Roman" w:eastAsia="仿宋" w:hAnsi="Times New Roman" w:hint="eastAsia"/>
          <w:sz w:val="32"/>
          <w:szCs w:val="32"/>
        </w:rPr>
        <w:t>全市预拌混凝土平均</w:t>
      </w:r>
      <w:r>
        <w:rPr>
          <w:rFonts w:ascii="Times New Roman" w:eastAsia="仿宋" w:hAnsi="Times New Roman"/>
          <w:sz w:val="32"/>
          <w:szCs w:val="32"/>
        </w:rPr>
        <w:t>产能利用率为</w:t>
      </w:r>
      <w:r>
        <w:rPr>
          <w:rFonts w:ascii="Times New Roman" w:eastAsia="仿宋" w:hAnsi="Times New Roman"/>
          <w:sz w:val="32"/>
          <w:szCs w:val="32"/>
        </w:rPr>
        <w:t>30%</w:t>
      </w:r>
      <w:r>
        <w:rPr>
          <w:rFonts w:ascii="Times New Roman" w:eastAsia="仿宋" w:hAnsi="Times New Roman" w:hint="eastAsia"/>
          <w:sz w:val="32"/>
          <w:szCs w:val="32"/>
        </w:rPr>
        <w:t>，各县区中产能利用率最高的为钦南区，达</w:t>
      </w:r>
      <w:r>
        <w:rPr>
          <w:rFonts w:ascii="Times New Roman" w:eastAsia="仿宋" w:hAnsi="Times New Roman" w:hint="eastAsia"/>
          <w:sz w:val="32"/>
          <w:szCs w:val="32"/>
        </w:rPr>
        <w:t>34%</w:t>
      </w:r>
      <w:r>
        <w:rPr>
          <w:rFonts w:ascii="Times New Roman" w:eastAsia="仿宋" w:hAnsi="Times New Roman" w:hint="eastAsia"/>
          <w:sz w:val="32"/>
          <w:szCs w:val="32"/>
        </w:rPr>
        <w:t>，其他县区均在</w:t>
      </w:r>
      <w:r>
        <w:rPr>
          <w:rFonts w:ascii="Times New Roman" w:eastAsia="仿宋" w:hAnsi="Times New Roman" w:hint="eastAsia"/>
          <w:sz w:val="32"/>
          <w:szCs w:val="32"/>
        </w:rPr>
        <w:t>30%</w:t>
      </w:r>
      <w:r>
        <w:rPr>
          <w:rFonts w:ascii="Times New Roman" w:eastAsia="仿宋" w:hAnsi="Times New Roman" w:hint="eastAsia"/>
          <w:sz w:val="32"/>
          <w:szCs w:val="32"/>
        </w:rPr>
        <w:t>以下，</w:t>
      </w:r>
      <w:r>
        <w:rPr>
          <w:rFonts w:ascii="Times New Roman" w:eastAsia="仿宋" w:hAnsi="Times New Roman"/>
          <w:sz w:val="32"/>
          <w:szCs w:val="32"/>
        </w:rPr>
        <w:t>具体情况如表</w:t>
      </w:r>
      <w:r>
        <w:rPr>
          <w:rFonts w:ascii="Times New Roman" w:eastAsia="仿宋" w:hAnsi="Times New Roman" w:hint="eastAsia"/>
          <w:sz w:val="32"/>
          <w:szCs w:val="32"/>
        </w:rPr>
        <w:t>1</w:t>
      </w:r>
      <w:r>
        <w:rPr>
          <w:rFonts w:ascii="Times New Roman" w:eastAsia="仿宋" w:hAnsi="Times New Roman"/>
          <w:sz w:val="32"/>
          <w:szCs w:val="32"/>
        </w:rPr>
        <w:t>-2</w:t>
      </w:r>
      <w:r>
        <w:rPr>
          <w:rFonts w:ascii="Times New Roman" w:eastAsia="仿宋" w:hAnsi="Times New Roman"/>
          <w:sz w:val="32"/>
          <w:szCs w:val="32"/>
        </w:rPr>
        <w:t>所示。</w:t>
      </w:r>
    </w:p>
    <w:p w:rsidR="00D74912" w:rsidRDefault="00D74912">
      <w:pPr>
        <w:adjustRightInd w:val="0"/>
        <w:snapToGrid w:val="0"/>
        <w:jc w:val="center"/>
        <w:rPr>
          <w:rFonts w:ascii="Times New Roman" w:eastAsia="仿宋" w:hAnsi="Times New Roman"/>
          <w:sz w:val="24"/>
          <w:szCs w:val="24"/>
        </w:rPr>
      </w:pPr>
    </w:p>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表</w:t>
      </w:r>
      <w:r>
        <w:rPr>
          <w:rFonts w:ascii="Times New Roman" w:eastAsia="仿宋" w:hAnsi="Times New Roman"/>
          <w:b/>
          <w:bCs/>
          <w:sz w:val="24"/>
          <w:szCs w:val="24"/>
        </w:rPr>
        <w:t>1-2 2020</w:t>
      </w:r>
      <w:r>
        <w:rPr>
          <w:rFonts w:ascii="Times New Roman" w:eastAsia="仿宋" w:hAnsi="Times New Roman"/>
          <w:b/>
          <w:bCs/>
          <w:sz w:val="24"/>
          <w:szCs w:val="24"/>
        </w:rPr>
        <w:t>年钦州市混凝土企业产能利用率情况</w:t>
      </w:r>
    </w:p>
    <w:tbl>
      <w:tblPr>
        <w:tblStyle w:val="a7"/>
        <w:tblW w:w="8519" w:type="dxa"/>
        <w:tblLayout w:type="fixed"/>
        <w:tblLook w:val="04A0"/>
      </w:tblPr>
      <w:tblGrid>
        <w:gridCol w:w="2259"/>
        <w:gridCol w:w="1019"/>
        <w:gridCol w:w="1591"/>
        <w:gridCol w:w="1229"/>
        <w:gridCol w:w="1185"/>
        <w:gridCol w:w="1236"/>
      </w:tblGrid>
      <w:tr w:rsidR="00D74912">
        <w:trPr>
          <w:trHeight w:val="533"/>
        </w:trPr>
        <w:tc>
          <w:tcPr>
            <w:tcW w:w="2259"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2020</w:t>
            </w:r>
            <w:r>
              <w:rPr>
                <w:rFonts w:ascii="Times New Roman" w:eastAsia="仿宋" w:hAnsi="Times New Roman"/>
                <w:b/>
                <w:bCs/>
                <w:sz w:val="24"/>
                <w:szCs w:val="24"/>
              </w:rPr>
              <w:t>年</w:t>
            </w:r>
          </w:p>
        </w:tc>
        <w:tc>
          <w:tcPr>
            <w:tcW w:w="1019"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钦州市</w:t>
            </w:r>
          </w:p>
        </w:tc>
        <w:tc>
          <w:tcPr>
            <w:tcW w:w="1591"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钦南区</w:t>
            </w:r>
          </w:p>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（含钦州港）</w:t>
            </w:r>
          </w:p>
        </w:tc>
        <w:tc>
          <w:tcPr>
            <w:tcW w:w="1229"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钦北区</w:t>
            </w:r>
          </w:p>
        </w:tc>
        <w:tc>
          <w:tcPr>
            <w:tcW w:w="1185"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灵山县</w:t>
            </w:r>
          </w:p>
        </w:tc>
        <w:tc>
          <w:tcPr>
            <w:tcW w:w="1236"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浦北县</w:t>
            </w:r>
          </w:p>
        </w:tc>
      </w:tr>
      <w:tr w:rsidR="00D74912">
        <w:trPr>
          <w:trHeight w:val="1003"/>
        </w:trPr>
        <w:tc>
          <w:tcPr>
            <w:tcW w:w="225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商品混凝土产量</w:t>
            </w:r>
          </w:p>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w:t>
            </w:r>
            <w:r>
              <w:rPr>
                <w:rFonts w:ascii="Times New Roman" w:eastAsia="仿宋" w:hAnsi="Times New Roman"/>
                <w:sz w:val="24"/>
                <w:szCs w:val="24"/>
              </w:rPr>
              <w:t>万立方米</w:t>
            </w:r>
            <w:r>
              <w:rPr>
                <w:rFonts w:ascii="Times New Roman" w:eastAsia="仿宋" w:hAnsi="Times New Roman"/>
                <w:sz w:val="24"/>
                <w:szCs w:val="24"/>
              </w:rPr>
              <w:t>)</w:t>
            </w:r>
          </w:p>
        </w:tc>
        <w:tc>
          <w:tcPr>
            <w:tcW w:w="101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686</w:t>
            </w:r>
          </w:p>
        </w:tc>
        <w:tc>
          <w:tcPr>
            <w:tcW w:w="1591"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375</w:t>
            </w:r>
          </w:p>
        </w:tc>
        <w:tc>
          <w:tcPr>
            <w:tcW w:w="122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105</w:t>
            </w:r>
          </w:p>
        </w:tc>
        <w:tc>
          <w:tcPr>
            <w:tcW w:w="11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126</w:t>
            </w:r>
          </w:p>
        </w:tc>
        <w:tc>
          <w:tcPr>
            <w:tcW w:w="1236"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80</w:t>
            </w:r>
          </w:p>
        </w:tc>
      </w:tr>
      <w:tr w:rsidR="00D74912">
        <w:trPr>
          <w:trHeight w:val="554"/>
        </w:trPr>
        <w:tc>
          <w:tcPr>
            <w:tcW w:w="225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产能利用率</w:t>
            </w:r>
          </w:p>
        </w:tc>
        <w:tc>
          <w:tcPr>
            <w:tcW w:w="101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c>
          <w:tcPr>
            <w:tcW w:w="1591"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34</w:t>
            </w:r>
          </w:p>
        </w:tc>
        <w:tc>
          <w:tcPr>
            <w:tcW w:w="122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29</w:t>
            </w:r>
          </w:p>
        </w:tc>
        <w:tc>
          <w:tcPr>
            <w:tcW w:w="1185"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c>
          <w:tcPr>
            <w:tcW w:w="1236"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28</w:t>
            </w:r>
          </w:p>
        </w:tc>
      </w:tr>
    </w:tbl>
    <w:p w:rsidR="00D74912" w:rsidRDefault="00FE7708">
      <w:pPr>
        <w:spacing w:line="360" w:lineRule="auto"/>
        <w:ind w:firstLineChars="100" w:firstLine="240"/>
        <w:rPr>
          <w:rFonts w:ascii="Times New Roman" w:eastAsia="仿宋" w:hAnsi="Times New Roman"/>
          <w:sz w:val="24"/>
          <w:szCs w:val="24"/>
        </w:rPr>
      </w:pPr>
      <w:r>
        <w:rPr>
          <w:rFonts w:ascii="Times New Roman" w:eastAsia="仿宋" w:hAnsi="Times New Roman"/>
          <w:sz w:val="24"/>
          <w:szCs w:val="24"/>
        </w:rPr>
        <w:t>注：在超出预拌混凝土最佳运输范围时，预拌混凝土产品仍存在跨县、区销售情况，因此当地预拌混凝土产量与当地预拌混凝土使用量非正相关。</w:t>
      </w:r>
    </w:p>
    <w:p w:rsidR="00D74912" w:rsidRDefault="00D74912">
      <w:pPr>
        <w:spacing w:line="360" w:lineRule="auto"/>
        <w:ind w:firstLineChars="200" w:firstLine="640"/>
        <w:rPr>
          <w:rFonts w:ascii="Times New Roman" w:eastAsia="仿宋" w:hAnsi="Times New Roman"/>
          <w:sz w:val="32"/>
          <w:szCs w:val="32"/>
        </w:rPr>
      </w:pP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3</w:t>
      </w:r>
      <w:r>
        <w:rPr>
          <w:rFonts w:ascii="Times New Roman" w:eastAsia="仿宋" w:hAnsi="Times New Roman"/>
          <w:sz w:val="32"/>
          <w:szCs w:val="32"/>
        </w:rPr>
        <w:t>、预拌混凝土生产情况</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2020</w:t>
      </w:r>
      <w:r>
        <w:rPr>
          <w:rFonts w:ascii="Times New Roman" w:eastAsia="仿宋" w:hAnsi="Times New Roman"/>
          <w:sz w:val="32"/>
          <w:szCs w:val="32"/>
        </w:rPr>
        <w:t>年</w:t>
      </w:r>
      <w:r>
        <w:rPr>
          <w:rFonts w:ascii="Times New Roman" w:eastAsia="仿宋" w:hAnsi="Times New Roman" w:hint="eastAsia"/>
          <w:sz w:val="32"/>
          <w:szCs w:val="32"/>
        </w:rPr>
        <w:t>钦州</w:t>
      </w:r>
      <w:r>
        <w:rPr>
          <w:rFonts w:ascii="Times New Roman" w:eastAsia="仿宋" w:hAnsi="Times New Roman"/>
          <w:sz w:val="32"/>
          <w:szCs w:val="32"/>
        </w:rPr>
        <w:t>市预拌混凝土产品产值约</w:t>
      </w:r>
      <w:r>
        <w:rPr>
          <w:rFonts w:ascii="Times New Roman" w:eastAsia="仿宋" w:hAnsi="Times New Roman"/>
          <w:sz w:val="32"/>
          <w:szCs w:val="32"/>
        </w:rPr>
        <w:t>260680</w:t>
      </w:r>
      <w:r>
        <w:rPr>
          <w:rFonts w:ascii="Times New Roman" w:eastAsia="仿宋" w:hAnsi="Times New Roman"/>
          <w:sz w:val="32"/>
          <w:szCs w:val="32"/>
        </w:rPr>
        <w:t>万元，生产</w:t>
      </w:r>
      <w:r>
        <w:rPr>
          <w:rFonts w:ascii="Times New Roman" w:eastAsia="仿宋" w:hAnsi="Times New Roman" w:hint="eastAsia"/>
          <w:sz w:val="32"/>
          <w:szCs w:val="32"/>
        </w:rPr>
        <w:t>能源消费量</w:t>
      </w:r>
      <w:r>
        <w:rPr>
          <w:rFonts w:ascii="Times New Roman" w:eastAsia="仿宋" w:hAnsi="Times New Roman"/>
          <w:sz w:val="32"/>
          <w:szCs w:val="32"/>
        </w:rPr>
        <w:t>约</w:t>
      </w:r>
      <w:r>
        <w:rPr>
          <w:rFonts w:ascii="Times New Roman" w:eastAsia="仿宋" w:hAnsi="Times New Roman" w:hint="eastAsia"/>
          <w:sz w:val="32"/>
          <w:szCs w:val="32"/>
        </w:rPr>
        <w:t>为</w:t>
      </w:r>
      <w:r>
        <w:rPr>
          <w:rFonts w:ascii="Times New Roman" w:eastAsia="仿宋" w:hAnsi="Times New Roman"/>
          <w:sz w:val="32"/>
          <w:szCs w:val="32"/>
        </w:rPr>
        <w:t>1.25</w:t>
      </w:r>
      <w:r>
        <w:rPr>
          <w:rFonts w:ascii="Times New Roman" w:eastAsia="仿宋" w:hAnsi="Times New Roman"/>
          <w:sz w:val="32"/>
          <w:szCs w:val="32"/>
        </w:rPr>
        <w:t>万吨标煤，</w:t>
      </w:r>
      <w:r>
        <w:rPr>
          <w:rFonts w:ascii="Times New Roman" w:eastAsia="仿宋" w:hAnsi="Times New Roman" w:hint="eastAsia"/>
          <w:sz w:val="32"/>
          <w:szCs w:val="32"/>
        </w:rPr>
        <w:t>其中</w:t>
      </w:r>
      <w:r>
        <w:rPr>
          <w:rFonts w:ascii="Times New Roman" w:eastAsia="仿宋" w:hAnsi="Times New Roman"/>
          <w:sz w:val="32"/>
          <w:szCs w:val="32"/>
        </w:rPr>
        <w:t>每万元产值能耗约为</w:t>
      </w:r>
      <w:r>
        <w:rPr>
          <w:rFonts w:ascii="Times New Roman" w:eastAsia="仿宋" w:hAnsi="Times New Roman"/>
          <w:sz w:val="32"/>
          <w:szCs w:val="32"/>
        </w:rPr>
        <w:t>0.05tce</w:t>
      </w:r>
      <w:r>
        <w:rPr>
          <w:rFonts w:ascii="Times New Roman" w:eastAsia="仿宋" w:hAnsi="Times New Roman"/>
          <w:sz w:val="32"/>
          <w:szCs w:val="32"/>
        </w:rPr>
        <w:t>。</w:t>
      </w:r>
    </w:p>
    <w:p w:rsidR="00D74912" w:rsidRDefault="00FE7708">
      <w:pPr>
        <w:spacing w:line="360" w:lineRule="auto"/>
        <w:ind w:firstLineChars="100" w:firstLine="321"/>
        <w:rPr>
          <w:rFonts w:ascii="Times New Roman" w:eastAsia="仿宋" w:hAnsi="Times New Roman"/>
          <w:b/>
          <w:sz w:val="32"/>
          <w:szCs w:val="32"/>
        </w:rPr>
      </w:pPr>
      <w:r>
        <w:rPr>
          <w:rFonts w:ascii="Times New Roman" w:eastAsia="仿宋" w:hAnsi="Times New Roman"/>
          <w:b/>
          <w:sz w:val="32"/>
          <w:szCs w:val="32"/>
        </w:rPr>
        <w:t>（三）预拌砂浆行业</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截至</w:t>
      </w:r>
      <w:r>
        <w:rPr>
          <w:rFonts w:ascii="Times New Roman" w:eastAsia="仿宋" w:hAnsi="Times New Roman"/>
          <w:sz w:val="32"/>
          <w:szCs w:val="32"/>
        </w:rPr>
        <w:t>2021</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月，钦州市已投产的预拌砂浆企业共有</w:t>
      </w:r>
      <w:r>
        <w:rPr>
          <w:rFonts w:ascii="Times New Roman" w:eastAsia="仿宋" w:hAnsi="Times New Roman"/>
          <w:sz w:val="32"/>
          <w:szCs w:val="32"/>
        </w:rPr>
        <w:t>5</w:t>
      </w:r>
      <w:r>
        <w:rPr>
          <w:rFonts w:ascii="Times New Roman" w:eastAsia="仿宋" w:hAnsi="Times New Roman"/>
          <w:sz w:val="32"/>
          <w:szCs w:val="32"/>
        </w:rPr>
        <w:t>家，其中钦南区</w:t>
      </w:r>
      <w:r>
        <w:rPr>
          <w:rFonts w:ascii="Times New Roman" w:eastAsia="仿宋" w:hAnsi="Times New Roman"/>
          <w:sz w:val="32"/>
          <w:szCs w:val="32"/>
        </w:rPr>
        <w:t>1</w:t>
      </w:r>
      <w:r>
        <w:rPr>
          <w:rFonts w:ascii="Times New Roman" w:eastAsia="仿宋" w:hAnsi="Times New Roman"/>
          <w:sz w:val="32"/>
          <w:szCs w:val="32"/>
        </w:rPr>
        <w:t>家企业具备生产湿拌砂浆和干混砂浆能力，设计总产能</w:t>
      </w:r>
      <w:r>
        <w:rPr>
          <w:rFonts w:ascii="Times New Roman" w:eastAsia="仿宋" w:hAnsi="Times New Roman"/>
          <w:sz w:val="32"/>
          <w:szCs w:val="32"/>
        </w:rPr>
        <w:t>42</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年。其余</w:t>
      </w:r>
      <w:r>
        <w:rPr>
          <w:rFonts w:ascii="Times New Roman" w:eastAsia="仿宋" w:hAnsi="Times New Roman"/>
          <w:sz w:val="32"/>
          <w:szCs w:val="32"/>
        </w:rPr>
        <w:t>4</w:t>
      </w:r>
      <w:r>
        <w:rPr>
          <w:rFonts w:ascii="Times New Roman" w:eastAsia="仿宋" w:hAnsi="Times New Roman"/>
          <w:sz w:val="32"/>
          <w:szCs w:val="32"/>
        </w:rPr>
        <w:t>家生产干混砂浆，包含浦北县</w:t>
      </w:r>
      <w:r>
        <w:rPr>
          <w:rFonts w:ascii="Times New Roman" w:eastAsia="仿宋" w:hAnsi="Times New Roman"/>
          <w:sz w:val="32"/>
          <w:szCs w:val="32"/>
        </w:rPr>
        <w:t>2</w:t>
      </w:r>
      <w:r>
        <w:rPr>
          <w:rFonts w:ascii="Times New Roman" w:eastAsia="仿宋" w:hAnsi="Times New Roman"/>
          <w:sz w:val="32"/>
          <w:szCs w:val="32"/>
        </w:rPr>
        <w:t>家，钦南区</w:t>
      </w:r>
      <w:r>
        <w:rPr>
          <w:rFonts w:ascii="Times New Roman" w:eastAsia="仿宋" w:hAnsi="Times New Roman"/>
          <w:sz w:val="32"/>
          <w:szCs w:val="32"/>
        </w:rPr>
        <w:t>1</w:t>
      </w:r>
      <w:r>
        <w:rPr>
          <w:rFonts w:ascii="Times New Roman" w:eastAsia="仿宋" w:hAnsi="Times New Roman"/>
          <w:sz w:val="32"/>
          <w:szCs w:val="32"/>
        </w:rPr>
        <w:t>家，灵山县</w:t>
      </w:r>
      <w:r>
        <w:rPr>
          <w:rFonts w:ascii="Times New Roman" w:eastAsia="仿宋" w:hAnsi="Times New Roman"/>
          <w:sz w:val="32"/>
          <w:szCs w:val="32"/>
        </w:rPr>
        <w:t>1</w:t>
      </w:r>
      <w:r>
        <w:rPr>
          <w:rFonts w:ascii="Times New Roman" w:eastAsia="仿宋" w:hAnsi="Times New Roman"/>
          <w:sz w:val="32"/>
          <w:szCs w:val="32"/>
        </w:rPr>
        <w:t>家，设计总产能</w:t>
      </w:r>
      <w:r>
        <w:rPr>
          <w:rFonts w:ascii="Times New Roman" w:eastAsia="仿宋" w:hAnsi="Times New Roman"/>
          <w:sz w:val="32"/>
          <w:szCs w:val="32"/>
        </w:rPr>
        <w:t>95</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w:t>
      </w:r>
      <w:r>
        <w:rPr>
          <w:rFonts w:ascii="Times New Roman" w:eastAsia="仿宋" w:hAnsi="Times New Roman" w:hint="eastAsia"/>
          <w:sz w:val="32"/>
          <w:szCs w:val="32"/>
        </w:rPr>
        <w:t>全</w:t>
      </w:r>
      <w:r>
        <w:rPr>
          <w:rFonts w:ascii="Times New Roman" w:eastAsia="仿宋" w:hAnsi="Times New Roman"/>
          <w:sz w:val="32"/>
          <w:szCs w:val="32"/>
        </w:rPr>
        <w:t>市预拌砂浆生产企业</w:t>
      </w:r>
      <w:r>
        <w:rPr>
          <w:rFonts w:ascii="Times New Roman" w:eastAsia="仿宋" w:hAnsi="Times New Roman" w:hint="eastAsia"/>
          <w:sz w:val="32"/>
          <w:szCs w:val="32"/>
        </w:rPr>
        <w:t>情况</w:t>
      </w:r>
      <w:r>
        <w:rPr>
          <w:rFonts w:ascii="Times New Roman" w:eastAsia="仿宋" w:hAnsi="Times New Roman"/>
          <w:sz w:val="32"/>
          <w:szCs w:val="32"/>
        </w:rPr>
        <w:t>表如表</w:t>
      </w:r>
      <w:r>
        <w:rPr>
          <w:rFonts w:ascii="Times New Roman" w:eastAsia="仿宋" w:hAnsi="Times New Roman"/>
          <w:sz w:val="32"/>
          <w:szCs w:val="32"/>
        </w:rPr>
        <w:t>1-</w:t>
      </w:r>
      <w:r>
        <w:rPr>
          <w:rFonts w:ascii="Times New Roman" w:eastAsia="仿宋" w:hAnsi="Times New Roman" w:hint="eastAsia"/>
          <w:sz w:val="32"/>
          <w:szCs w:val="32"/>
        </w:rPr>
        <w:t>3</w:t>
      </w:r>
      <w:r>
        <w:rPr>
          <w:rFonts w:ascii="Times New Roman" w:eastAsia="仿宋" w:hAnsi="Times New Roman"/>
          <w:sz w:val="32"/>
          <w:szCs w:val="32"/>
        </w:rPr>
        <w:t>所示</w:t>
      </w:r>
      <w:r>
        <w:rPr>
          <w:rFonts w:ascii="Times New Roman" w:eastAsia="仿宋" w:hAnsi="Times New Roman" w:hint="eastAsia"/>
          <w:sz w:val="32"/>
          <w:szCs w:val="32"/>
        </w:rPr>
        <w:t>。</w:t>
      </w:r>
    </w:p>
    <w:p w:rsidR="00D74912" w:rsidRDefault="00D74912">
      <w:pPr>
        <w:adjustRightInd w:val="0"/>
        <w:snapToGrid w:val="0"/>
        <w:jc w:val="center"/>
        <w:rPr>
          <w:rFonts w:ascii="Times New Roman" w:eastAsia="仿宋" w:hAnsi="Times New Roman"/>
          <w:sz w:val="24"/>
          <w:szCs w:val="24"/>
        </w:rPr>
      </w:pPr>
    </w:p>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1-3</w:t>
      </w:r>
      <w:r>
        <w:rPr>
          <w:rFonts w:ascii="Times New Roman" w:eastAsia="仿宋" w:hAnsi="Times New Roman"/>
          <w:b/>
          <w:bCs/>
          <w:sz w:val="24"/>
          <w:szCs w:val="24"/>
        </w:rPr>
        <w:t>钦州市预拌砂浆生产企业汇总表（截止</w:t>
      </w:r>
      <w:r>
        <w:rPr>
          <w:rFonts w:ascii="Times New Roman" w:eastAsia="仿宋" w:hAnsi="Times New Roman"/>
          <w:b/>
          <w:bCs/>
          <w:sz w:val="24"/>
          <w:szCs w:val="24"/>
        </w:rPr>
        <w:t>2021</w:t>
      </w:r>
      <w:r>
        <w:rPr>
          <w:rFonts w:ascii="Times New Roman" w:eastAsia="仿宋" w:hAnsi="Times New Roman"/>
          <w:b/>
          <w:bCs/>
          <w:sz w:val="24"/>
          <w:szCs w:val="24"/>
        </w:rPr>
        <w:t>年</w:t>
      </w:r>
      <w:r>
        <w:rPr>
          <w:rFonts w:ascii="Times New Roman" w:eastAsia="仿宋" w:hAnsi="Times New Roman"/>
          <w:b/>
          <w:bCs/>
          <w:sz w:val="24"/>
          <w:szCs w:val="24"/>
        </w:rPr>
        <w:t>10</w:t>
      </w:r>
      <w:r>
        <w:rPr>
          <w:rFonts w:ascii="Times New Roman" w:eastAsia="仿宋" w:hAnsi="Times New Roman"/>
          <w:b/>
          <w:bCs/>
          <w:sz w:val="24"/>
          <w:szCs w:val="24"/>
        </w:rPr>
        <w:t>月）</w:t>
      </w:r>
    </w:p>
    <w:tbl>
      <w:tblPr>
        <w:tblStyle w:val="a7"/>
        <w:tblW w:w="8522" w:type="dxa"/>
        <w:tblLayout w:type="fixed"/>
        <w:tblLook w:val="04A0"/>
      </w:tblPr>
      <w:tblGrid>
        <w:gridCol w:w="519"/>
        <w:gridCol w:w="690"/>
        <w:gridCol w:w="3450"/>
        <w:gridCol w:w="2490"/>
        <w:gridCol w:w="1373"/>
      </w:tblGrid>
      <w:tr w:rsidR="00D74912">
        <w:tc>
          <w:tcPr>
            <w:tcW w:w="519"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地区</w:t>
            </w:r>
          </w:p>
        </w:tc>
        <w:tc>
          <w:tcPr>
            <w:tcW w:w="690"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序号</w:t>
            </w:r>
          </w:p>
        </w:tc>
        <w:tc>
          <w:tcPr>
            <w:tcW w:w="3450"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企业名称</w:t>
            </w:r>
          </w:p>
        </w:tc>
        <w:tc>
          <w:tcPr>
            <w:tcW w:w="2490"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地址</w:t>
            </w:r>
          </w:p>
        </w:tc>
        <w:tc>
          <w:tcPr>
            <w:tcW w:w="1373"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产能</w:t>
            </w:r>
          </w:p>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万吨</w:t>
            </w:r>
            <w:r>
              <w:rPr>
                <w:rFonts w:ascii="Times New Roman" w:eastAsia="仿宋" w:hAnsi="Times New Roman"/>
                <w:b/>
                <w:bCs/>
                <w:sz w:val="24"/>
                <w:szCs w:val="24"/>
              </w:rPr>
              <w:t>/</w:t>
            </w:r>
            <w:r>
              <w:rPr>
                <w:rFonts w:ascii="Times New Roman" w:eastAsia="仿宋" w:hAnsi="Times New Roman"/>
                <w:b/>
                <w:bCs/>
                <w:sz w:val="24"/>
                <w:szCs w:val="24"/>
              </w:rPr>
              <w:t>年</w:t>
            </w:r>
          </w:p>
        </w:tc>
      </w:tr>
      <w:tr w:rsidR="00D74912">
        <w:tc>
          <w:tcPr>
            <w:tcW w:w="519"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w:t>
            </w:r>
          </w:p>
        </w:tc>
        <w:tc>
          <w:tcPr>
            <w:tcW w:w="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w:t>
            </w:r>
          </w:p>
        </w:tc>
        <w:tc>
          <w:tcPr>
            <w:tcW w:w="345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浦北县建和建材有限公司</w:t>
            </w:r>
          </w:p>
        </w:tc>
        <w:tc>
          <w:tcPr>
            <w:tcW w:w="24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浦北县乐民产业园</w:t>
            </w:r>
          </w:p>
        </w:tc>
        <w:tc>
          <w:tcPr>
            <w:tcW w:w="1373"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20</w:t>
            </w:r>
          </w:p>
        </w:tc>
      </w:tr>
      <w:tr w:rsidR="00D74912">
        <w:tc>
          <w:tcPr>
            <w:tcW w:w="519" w:type="dxa"/>
            <w:vMerge/>
            <w:vAlign w:val="center"/>
          </w:tcPr>
          <w:p w:rsidR="00D74912" w:rsidRDefault="00D74912">
            <w:pPr>
              <w:adjustRightInd w:val="0"/>
              <w:snapToGrid w:val="0"/>
              <w:jc w:val="center"/>
              <w:rPr>
                <w:rFonts w:ascii="Times New Roman" w:eastAsia="仿宋" w:hAnsi="Times New Roman"/>
                <w:sz w:val="24"/>
                <w:szCs w:val="24"/>
              </w:rPr>
            </w:pPr>
          </w:p>
        </w:tc>
        <w:tc>
          <w:tcPr>
            <w:tcW w:w="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2</w:t>
            </w:r>
          </w:p>
        </w:tc>
        <w:tc>
          <w:tcPr>
            <w:tcW w:w="345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浦北县特约建材有限公司</w:t>
            </w:r>
          </w:p>
        </w:tc>
        <w:tc>
          <w:tcPr>
            <w:tcW w:w="24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浦北县乐民产业园</w:t>
            </w:r>
          </w:p>
        </w:tc>
        <w:tc>
          <w:tcPr>
            <w:tcW w:w="1373"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r>
      <w:tr w:rsidR="00D74912">
        <w:tc>
          <w:tcPr>
            <w:tcW w:w="519" w:type="dxa"/>
            <w:vMerge w:val="restart"/>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钦南区</w:t>
            </w:r>
          </w:p>
        </w:tc>
        <w:tc>
          <w:tcPr>
            <w:tcW w:w="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w:t>
            </w:r>
          </w:p>
        </w:tc>
        <w:tc>
          <w:tcPr>
            <w:tcW w:w="345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钦州市云辉建筑材料有限公司</w:t>
            </w:r>
          </w:p>
        </w:tc>
        <w:tc>
          <w:tcPr>
            <w:tcW w:w="24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钦州市钦南区沙埠镇桥坪村委捞竹坪磨刀水队</w:t>
            </w:r>
          </w:p>
        </w:tc>
        <w:tc>
          <w:tcPr>
            <w:tcW w:w="1373"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15</w:t>
            </w:r>
          </w:p>
        </w:tc>
      </w:tr>
      <w:tr w:rsidR="00D74912">
        <w:tc>
          <w:tcPr>
            <w:tcW w:w="519" w:type="dxa"/>
            <w:vMerge/>
            <w:vAlign w:val="center"/>
          </w:tcPr>
          <w:p w:rsidR="00D74912" w:rsidRDefault="00D74912">
            <w:pPr>
              <w:adjustRightInd w:val="0"/>
              <w:snapToGrid w:val="0"/>
              <w:jc w:val="center"/>
              <w:rPr>
                <w:rFonts w:ascii="Times New Roman" w:eastAsia="仿宋" w:hAnsi="Times New Roman"/>
                <w:sz w:val="24"/>
                <w:szCs w:val="24"/>
              </w:rPr>
            </w:pPr>
          </w:p>
        </w:tc>
        <w:tc>
          <w:tcPr>
            <w:tcW w:w="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4</w:t>
            </w:r>
          </w:p>
        </w:tc>
        <w:tc>
          <w:tcPr>
            <w:tcW w:w="345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广西宏泰投资有限公司</w:t>
            </w:r>
          </w:p>
        </w:tc>
        <w:tc>
          <w:tcPr>
            <w:tcW w:w="24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钦州市钦南区大番坡葵子小区</w:t>
            </w:r>
          </w:p>
        </w:tc>
        <w:tc>
          <w:tcPr>
            <w:tcW w:w="1373"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湿拌</w:t>
            </w:r>
            <w:r>
              <w:rPr>
                <w:rFonts w:ascii="Times New Roman" w:eastAsia="仿宋" w:hAnsi="Times New Roman" w:hint="eastAsia"/>
                <w:sz w:val="24"/>
                <w:szCs w:val="24"/>
              </w:rPr>
              <w:t>10</w:t>
            </w:r>
          </w:p>
          <w:p w:rsidR="00D74912" w:rsidRDefault="00FE7708">
            <w:pPr>
              <w:adjustRightInd w:val="0"/>
              <w:snapToGrid w:val="0"/>
              <w:jc w:val="center"/>
              <w:rPr>
                <w:rFonts w:ascii="Times New Roman" w:hAnsi="Times New Roman"/>
                <w:color w:val="FF0000"/>
              </w:rPr>
            </w:pPr>
            <w:r>
              <w:rPr>
                <w:rFonts w:ascii="Times New Roman" w:eastAsia="仿宋" w:hAnsi="Times New Roman"/>
                <w:sz w:val="24"/>
                <w:szCs w:val="24"/>
              </w:rPr>
              <w:t>干混</w:t>
            </w:r>
            <w:r>
              <w:rPr>
                <w:rFonts w:ascii="Times New Roman" w:eastAsia="仿宋" w:hAnsi="Times New Roman" w:hint="eastAsia"/>
                <w:sz w:val="24"/>
                <w:szCs w:val="24"/>
              </w:rPr>
              <w:t>20</w:t>
            </w:r>
          </w:p>
        </w:tc>
      </w:tr>
      <w:tr w:rsidR="00D74912">
        <w:tc>
          <w:tcPr>
            <w:tcW w:w="519"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w:t>
            </w:r>
          </w:p>
        </w:tc>
        <w:tc>
          <w:tcPr>
            <w:tcW w:w="6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5</w:t>
            </w:r>
          </w:p>
        </w:tc>
        <w:tc>
          <w:tcPr>
            <w:tcW w:w="345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广西凡硕新型建材有限公司</w:t>
            </w:r>
          </w:p>
        </w:tc>
        <w:tc>
          <w:tcPr>
            <w:tcW w:w="2490"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灵山县新圩镇容家村委六云村</w:t>
            </w:r>
          </w:p>
        </w:tc>
        <w:tc>
          <w:tcPr>
            <w:tcW w:w="1373"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30</w:t>
            </w:r>
          </w:p>
        </w:tc>
      </w:tr>
    </w:tbl>
    <w:p w:rsidR="00D74912" w:rsidRDefault="00FE7708">
      <w:pPr>
        <w:adjustRightInd w:val="0"/>
        <w:snapToGrid w:val="0"/>
        <w:jc w:val="left"/>
        <w:rPr>
          <w:rFonts w:ascii="Times New Roman" w:eastAsia="仿宋" w:hAnsi="Times New Roman"/>
          <w:sz w:val="24"/>
          <w:szCs w:val="24"/>
        </w:rPr>
      </w:pPr>
      <w:r>
        <w:rPr>
          <w:rFonts w:ascii="Times New Roman" w:eastAsia="仿宋" w:hAnsi="Times New Roman"/>
          <w:sz w:val="24"/>
          <w:szCs w:val="24"/>
        </w:rPr>
        <w:t>注：</w:t>
      </w:r>
      <w:r>
        <w:rPr>
          <w:rFonts w:ascii="Times New Roman" w:eastAsia="仿宋" w:hAnsi="Times New Roman"/>
          <w:sz w:val="24"/>
          <w:szCs w:val="24"/>
        </w:rPr>
        <w:t>1m³</w:t>
      </w:r>
      <w:r>
        <w:rPr>
          <w:rFonts w:ascii="Times New Roman" w:eastAsia="仿宋" w:hAnsi="Times New Roman"/>
          <w:sz w:val="24"/>
          <w:szCs w:val="24"/>
        </w:rPr>
        <w:t>湿拌砂浆折合</w:t>
      </w:r>
      <w:r>
        <w:rPr>
          <w:rFonts w:ascii="Times New Roman" w:eastAsia="仿宋" w:hAnsi="Times New Roman"/>
          <w:sz w:val="24"/>
          <w:szCs w:val="24"/>
        </w:rPr>
        <w:t>1.6</w:t>
      </w:r>
      <w:r>
        <w:rPr>
          <w:rFonts w:ascii="Times New Roman" w:eastAsia="仿宋" w:hAnsi="Times New Roman"/>
          <w:sz w:val="24"/>
          <w:szCs w:val="24"/>
        </w:rPr>
        <w:t>吨干混砂浆</w:t>
      </w:r>
    </w:p>
    <w:p w:rsidR="00D74912" w:rsidRDefault="00D74912">
      <w:pPr>
        <w:spacing w:line="360" w:lineRule="auto"/>
        <w:ind w:firstLineChars="100" w:firstLine="321"/>
        <w:rPr>
          <w:rFonts w:ascii="Times New Roman" w:eastAsia="仿宋" w:hAnsi="Times New Roman"/>
          <w:b/>
          <w:sz w:val="32"/>
          <w:szCs w:val="32"/>
        </w:rPr>
      </w:pPr>
    </w:p>
    <w:p w:rsidR="00D74912" w:rsidRDefault="00FE7708">
      <w:pPr>
        <w:spacing w:line="360" w:lineRule="auto"/>
        <w:ind w:firstLineChars="100" w:firstLine="321"/>
        <w:rPr>
          <w:rFonts w:ascii="Times New Roman" w:eastAsia="仿宋" w:hAnsi="Times New Roman"/>
          <w:sz w:val="32"/>
          <w:szCs w:val="32"/>
        </w:rPr>
      </w:pPr>
      <w:r>
        <w:rPr>
          <w:rFonts w:ascii="Times New Roman" w:eastAsia="仿宋" w:hAnsi="Times New Roman"/>
          <w:b/>
          <w:sz w:val="32"/>
          <w:szCs w:val="32"/>
        </w:rPr>
        <w:t>（四）水泥制品行业</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截止</w:t>
      </w:r>
      <w:r>
        <w:rPr>
          <w:rFonts w:ascii="Times New Roman" w:eastAsia="仿宋" w:hAnsi="Times New Roman"/>
          <w:sz w:val="32"/>
          <w:szCs w:val="32"/>
        </w:rPr>
        <w:t>2021</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月，全市共有水泥制品企业</w:t>
      </w:r>
      <w:r>
        <w:rPr>
          <w:rFonts w:ascii="Times New Roman" w:eastAsia="仿宋" w:hAnsi="Times New Roman"/>
          <w:sz w:val="32"/>
          <w:szCs w:val="32"/>
        </w:rPr>
        <w:t>10</w:t>
      </w:r>
      <w:r>
        <w:rPr>
          <w:rFonts w:ascii="Times New Roman" w:eastAsia="仿宋" w:hAnsi="Times New Roman"/>
          <w:sz w:val="32"/>
          <w:szCs w:val="32"/>
        </w:rPr>
        <w:t>家，钦南区</w:t>
      </w:r>
      <w:r>
        <w:rPr>
          <w:rFonts w:ascii="Times New Roman" w:eastAsia="仿宋" w:hAnsi="Times New Roman"/>
          <w:sz w:val="32"/>
          <w:szCs w:val="32"/>
        </w:rPr>
        <w:t>7</w:t>
      </w:r>
      <w:r>
        <w:rPr>
          <w:rFonts w:ascii="Times New Roman" w:eastAsia="仿宋" w:hAnsi="Times New Roman"/>
          <w:sz w:val="32"/>
          <w:szCs w:val="32"/>
        </w:rPr>
        <w:t>家（规上</w:t>
      </w:r>
      <w:r>
        <w:rPr>
          <w:rFonts w:ascii="Times New Roman" w:eastAsia="仿宋" w:hAnsi="Times New Roman"/>
          <w:sz w:val="32"/>
          <w:szCs w:val="32"/>
        </w:rPr>
        <w:t>1</w:t>
      </w:r>
      <w:r>
        <w:rPr>
          <w:rFonts w:ascii="Times New Roman" w:eastAsia="仿宋" w:hAnsi="Times New Roman"/>
          <w:sz w:val="32"/>
          <w:szCs w:val="32"/>
        </w:rPr>
        <w:t>家），以水泥管、砖、瓦等产品为主；浦北县</w:t>
      </w:r>
      <w:r>
        <w:rPr>
          <w:rFonts w:ascii="Times New Roman" w:eastAsia="仿宋" w:hAnsi="Times New Roman"/>
          <w:sz w:val="32"/>
          <w:szCs w:val="32"/>
        </w:rPr>
        <w:t>1</w:t>
      </w:r>
      <w:r>
        <w:rPr>
          <w:rFonts w:ascii="Times New Roman" w:eastAsia="仿宋" w:hAnsi="Times New Roman"/>
          <w:sz w:val="32"/>
          <w:szCs w:val="32"/>
        </w:rPr>
        <w:t>家，主要生产线杆；钦北区</w:t>
      </w:r>
      <w:r>
        <w:rPr>
          <w:rFonts w:ascii="Times New Roman" w:eastAsia="仿宋" w:hAnsi="Times New Roman"/>
          <w:sz w:val="32"/>
          <w:szCs w:val="32"/>
        </w:rPr>
        <w:t>2</w:t>
      </w:r>
      <w:r>
        <w:rPr>
          <w:rFonts w:ascii="Times New Roman" w:eastAsia="仿宋" w:hAnsi="Times New Roman"/>
          <w:sz w:val="32"/>
          <w:szCs w:val="32"/>
        </w:rPr>
        <w:t>家，以预制管桩、预制构件产品为主。</w:t>
      </w:r>
    </w:p>
    <w:p w:rsidR="00D74912" w:rsidRDefault="00D74912">
      <w:pPr>
        <w:pStyle w:val="2"/>
        <w:rPr>
          <w:rFonts w:ascii="Times New Roman" w:hAnsi="Times New Roman"/>
        </w:rPr>
      </w:pPr>
    </w:p>
    <w:p w:rsidR="00D74912" w:rsidRDefault="00FE7708">
      <w:pPr>
        <w:spacing w:line="360" w:lineRule="auto"/>
        <w:outlineLvl w:val="1"/>
        <w:rPr>
          <w:rFonts w:ascii="Times New Roman" w:eastAsia="黑体" w:hAnsi="Times New Roman"/>
          <w:b/>
          <w:sz w:val="32"/>
          <w:szCs w:val="28"/>
        </w:rPr>
      </w:pPr>
      <w:bookmarkStart w:id="21" w:name="_Toc27425"/>
      <w:bookmarkStart w:id="22" w:name="_Toc20096"/>
      <w:bookmarkStart w:id="23" w:name="_Toc6629"/>
      <w:r>
        <w:rPr>
          <w:rFonts w:ascii="Times New Roman" w:eastAsia="黑体" w:hAnsi="Times New Roman"/>
          <w:b/>
          <w:sz w:val="32"/>
          <w:szCs w:val="28"/>
        </w:rPr>
        <w:t>二、发展成效</w:t>
      </w:r>
      <w:bookmarkEnd w:id="21"/>
      <w:bookmarkEnd w:id="22"/>
      <w:bookmarkEnd w:id="23"/>
    </w:p>
    <w:p w:rsidR="00D74912" w:rsidRDefault="00FE7708">
      <w:pPr>
        <w:spacing w:line="360" w:lineRule="auto"/>
        <w:ind w:firstLineChars="100" w:firstLine="321"/>
        <w:outlineLvl w:val="2"/>
        <w:rPr>
          <w:rFonts w:ascii="Times New Roman" w:eastAsia="楷体" w:hAnsi="Times New Roman"/>
          <w:b/>
          <w:sz w:val="32"/>
          <w:szCs w:val="32"/>
        </w:rPr>
      </w:pPr>
      <w:r>
        <w:rPr>
          <w:rFonts w:ascii="Times New Roman" w:eastAsia="楷体" w:hAnsi="Times New Roman"/>
          <w:b/>
          <w:sz w:val="32"/>
          <w:szCs w:val="32"/>
        </w:rPr>
        <w:t>（一）预拌混凝土发展迅速</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2020</w:t>
      </w:r>
      <w:r>
        <w:rPr>
          <w:rFonts w:ascii="Times New Roman" w:eastAsia="仿宋" w:hAnsi="Times New Roman"/>
          <w:sz w:val="32"/>
          <w:szCs w:val="32"/>
        </w:rPr>
        <w:t>年全市水泥企业散装水泥供应量实现平稳增长，供应量达</w:t>
      </w:r>
      <w:r>
        <w:rPr>
          <w:rFonts w:ascii="Times New Roman" w:eastAsia="仿宋" w:hAnsi="Times New Roman"/>
          <w:sz w:val="32"/>
          <w:szCs w:val="32"/>
        </w:rPr>
        <w:t>257</w:t>
      </w:r>
      <w:r>
        <w:rPr>
          <w:rFonts w:ascii="Times New Roman" w:eastAsia="仿宋" w:hAnsi="Times New Roman"/>
          <w:sz w:val="32"/>
          <w:szCs w:val="32"/>
        </w:rPr>
        <w:t>万吨，水泥散装率</w:t>
      </w:r>
      <w:r>
        <w:rPr>
          <w:rFonts w:ascii="Times New Roman" w:eastAsia="仿宋" w:hAnsi="Times New Roman"/>
          <w:sz w:val="32"/>
          <w:szCs w:val="32"/>
        </w:rPr>
        <w:t>60%</w:t>
      </w:r>
      <w:r>
        <w:rPr>
          <w:rFonts w:ascii="Times New Roman" w:eastAsia="仿宋" w:hAnsi="Times New Roman"/>
          <w:sz w:val="32"/>
          <w:szCs w:val="32"/>
        </w:rPr>
        <w:t>；</w:t>
      </w:r>
      <w:r>
        <w:rPr>
          <w:rFonts w:ascii="Times New Roman" w:eastAsia="仿宋" w:hAnsi="Times New Roman"/>
          <w:sz w:val="32"/>
          <w:szCs w:val="32"/>
        </w:rPr>
        <w:t>2020</w:t>
      </w:r>
      <w:r>
        <w:rPr>
          <w:rFonts w:ascii="Times New Roman" w:eastAsia="仿宋" w:hAnsi="Times New Roman"/>
          <w:sz w:val="32"/>
          <w:szCs w:val="32"/>
        </w:rPr>
        <w:t>年全市有专业承包资质企业预拌混凝土供应总量达</w:t>
      </w:r>
      <w:r>
        <w:rPr>
          <w:rFonts w:ascii="Times New Roman" w:eastAsia="仿宋" w:hAnsi="Times New Roman"/>
          <w:sz w:val="32"/>
          <w:szCs w:val="32"/>
        </w:rPr>
        <w:t>686</w:t>
      </w:r>
      <w:r>
        <w:rPr>
          <w:rFonts w:ascii="Times New Roman" w:eastAsia="仿宋" w:hAnsi="Times New Roman"/>
          <w:sz w:val="32"/>
          <w:szCs w:val="32"/>
        </w:rPr>
        <w:t>万立方米，同比增长</w:t>
      </w:r>
      <w:r>
        <w:rPr>
          <w:rFonts w:ascii="Times New Roman" w:eastAsia="仿宋" w:hAnsi="Times New Roman"/>
          <w:sz w:val="32"/>
          <w:szCs w:val="32"/>
        </w:rPr>
        <w:t>40%</w:t>
      </w:r>
      <w:r>
        <w:rPr>
          <w:rFonts w:ascii="Times New Roman" w:eastAsia="仿宋" w:hAnsi="Times New Roman" w:hint="eastAsia"/>
          <w:sz w:val="32"/>
          <w:szCs w:val="32"/>
        </w:rPr>
        <w:t>（与上页</w:t>
      </w:r>
      <w:r>
        <w:rPr>
          <w:rFonts w:ascii="Times New Roman" w:eastAsia="仿宋" w:hAnsi="Times New Roman" w:hint="eastAsia"/>
          <w:sz w:val="32"/>
          <w:szCs w:val="32"/>
        </w:rPr>
        <w:t>68%</w:t>
      </w:r>
      <w:r>
        <w:rPr>
          <w:rFonts w:ascii="Times New Roman" w:eastAsia="仿宋" w:hAnsi="Times New Roman" w:hint="eastAsia"/>
          <w:sz w:val="32"/>
          <w:szCs w:val="32"/>
        </w:rPr>
        <w:t>矛盾）</w:t>
      </w:r>
      <w:r>
        <w:rPr>
          <w:rFonts w:ascii="Times New Roman" w:eastAsia="仿宋" w:hAnsi="Times New Roman"/>
          <w:sz w:val="32"/>
          <w:szCs w:val="32"/>
        </w:rPr>
        <w:t>。全市散装水泥供应量和散装率、预拌混凝土供应量等指标均已达到《广西散装水泥、预拌混</w:t>
      </w:r>
      <w:r>
        <w:rPr>
          <w:rFonts w:ascii="Times New Roman" w:eastAsia="仿宋" w:hAnsi="Times New Roman"/>
          <w:sz w:val="32"/>
          <w:szCs w:val="32"/>
        </w:rPr>
        <w:lastRenderedPageBreak/>
        <w:t>凝土、预拌砂浆发展</w:t>
      </w:r>
      <w:r>
        <w:rPr>
          <w:rFonts w:ascii="Times New Roman" w:eastAsia="仿宋" w:hAnsi="Times New Roman"/>
          <w:sz w:val="32"/>
          <w:szCs w:val="32"/>
        </w:rPr>
        <w:t>“</w:t>
      </w:r>
      <w:r>
        <w:rPr>
          <w:rFonts w:ascii="Times New Roman" w:eastAsia="仿宋" w:hAnsi="Times New Roman"/>
          <w:sz w:val="32"/>
          <w:szCs w:val="32"/>
        </w:rPr>
        <w:t>十三五</w:t>
      </w:r>
      <w:r>
        <w:rPr>
          <w:rFonts w:ascii="Times New Roman" w:eastAsia="仿宋" w:hAnsi="Times New Roman"/>
          <w:sz w:val="32"/>
          <w:szCs w:val="32"/>
        </w:rPr>
        <w:t>”</w:t>
      </w:r>
      <w:r>
        <w:rPr>
          <w:rFonts w:ascii="Times New Roman" w:eastAsia="仿宋" w:hAnsi="Times New Roman"/>
          <w:sz w:val="32"/>
          <w:szCs w:val="32"/>
        </w:rPr>
        <w:t>规划》对钦州市提出的行业发展目标要求。</w:t>
      </w:r>
    </w:p>
    <w:p w:rsidR="00D74912" w:rsidRDefault="00FE7708">
      <w:pPr>
        <w:spacing w:line="360" w:lineRule="auto"/>
        <w:ind w:firstLineChars="100" w:firstLine="321"/>
        <w:outlineLvl w:val="2"/>
        <w:rPr>
          <w:rFonts w:ascii="Times New Roman" w:eastAsia="楷体" w:hAnsi="Times New Roman"/>
          <w:b/>
          <w:sz w:val="32"/>
          <w:szCs w:val="32"/>
        </w:rPr>
      </w:pPr>
      <w:bookmarkStart w:id="24" w:name="_Toc6071"/>
      <w:r>
        <w:rPr>
          <w:rFonts w:ascii="Times New Roman" w:eastAsia="楷体" w:hAnsi="Times New Roman"/>
          <w:b/>
          <w:sz w:val="32"/>
          <w:szCs w:val="32"/>
        </w:rPr>
        <w:t>（二）节能减排效果明显</w:t>
      </w:r>
      <w:bookmarkEnd w:id="24"/>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随着散装水泥和预拌混凝土的快速推广应用，在节约资源、保护环境方面成效显著。</w:t>
      </w:r>
      <w:r>
        <w:rPr>
          <w:rFonts w:ascii="Times New Roman" w:eastAsia="仿宋" w:hAnsi="Times New Roman"/>
          <w:sz w:val="32"/>
          <w:szCs w:val="32"/>
        </w:rPr>
        <w:t>“</w:t>
      </w:r>
      <w:r>
        <w:rPr>
          <w:rFonts w:ascii="Times New Roman" w:eastAsia="仿宋" w:hAnsi="Times New Roman"/>
          <w:sz w:val="32"/>
          <w:szCs w:val="32"/>
        </w:rPr>
        <w:t>十三五</w:t>
      </w:r>
      <w:r>
        <w:rPr>
          <w:rFonts w:ascii="Times New Roman" w:eastAsia="仿宋" w:hAnsi="Times New Roman"/>
          <w:sz w:val="32"/>
          <w:szCs w:val="32"/>
        </w:rPr>
        <w:t>”</w:t>
      </w:r>
      <w:r>
        <w:rPr>
          <w:rFonts w:ascii="Times New Roman" w:eastAsia="仿宋" w:hAnsi="Times New Roman"/>
          <w:sz w:val="32"/>
          <w:szCs w:val="32"/>
        </w:rPr>
        <w:t>期间，全市累计供应散装水泥</w:t>
      </w:r>
      <w:r>
        <w:rPr>
          <w:rFonts w:ascii="Times New Roman" w:eastAsia="仿宋" w:hAnsi="Times New Roman"/>
          <w:sz w:val="32"/>
          <w:szCs w:val="32"/>
        </w:rPr>
        <w:t>864</w:t>
      </w:r>
      <w:r>
        <w:rPr>
          <w:rFonts w:ascii="Times New Roman" w:eastAsia="仿宋" w:hAnsi="Times New Roman"/>
          <w:sz w:val="32"/>
          <w:szCs w:val="32"/>
        </w:rPr>
        <w:t>万吨，节约包装用纸约</w:t>
      </w:r>
      <w:r>
        <w:rPr>
          <w:rFonts w:ascii="Times New Roman" w:eastAsia="仿宋" w:hAnsi="Times New Roman"/>
          <w:sz w:val="32"/>
          <w:szCs w:val="32"/>
        </w:rPr>
        <w:t>1.4</w:t>
      </w:r>
      <w:r>
        <w:rPr>
          <w:rFonts w:ascii="Times New Roman" w:eastAsia="仿宋" w:hAnsi="Times New Roman"/>
          <w:sz w:val="32"/>
          <w:szCs w:val="32"/>
        </w:rPr>
        <w:t>万吨，节约标煤约</w:t>
      </w:r>
      <w:r>
        <w:rPr>
          <w:rFonts w:ascii="Times New Roman" w:eastAsia="仿宋" w:hAnsi="Times New Roman"/>
          <w:sz w:val="32"/>
          <w:szCs w:val="32"/>
        </w:rPr>
        <w:t>8</w:t>
      </w:r>
      <w:r>
        <w:rPr>
          <w:rFonts w:ascii="Times New Roman" w:eastAsia="仿宋" w:hAnsi="Times New Roman"/>
          <w:sz w:val="32"/>
          <w:szCs w:val="32"/>
        </w:rPr>
        <w:t>万吨，减少水泥粉尘排放量约</w:t>
      </w:r>
      <w:r>
        <w:rPr>
          <w:rFonts w:ascii="Times New Roman" w:eastAsia="仿宋" w:hAnsi="Times New Roman"/>
          <w:sz w:val="32"/>
          <w:szCs w:val="32"/>
        </w:rPr>
        <w:t>3.4</w:t>
      </w:r>
      <w:r>
        <w:rPr>
          <w:rFonts w:ascii="Times New Roman" w:eastAsia="仿宋" w:hAnsi="Times New Roman"/>
          <w:sz w:val="32"/>
          <w:szCs w:val="32"/>
        </w:rPr>
        <w:t>万吨，减少二氧化碳排放量约</w:t>
      </w:r>
      <w:r>
        <w:rPr>
          <w:rFonts w:ascii="Times New Roman" w:eastAsia="仿宋" w:hAnsi="Times New Roman"/>
          <w:sz w:val="32"/>
          <w:szCs w:val="32"/>
        </w:rPr>
        <w:t>30</w:t>
      </w:r>
      <w:r>
        <w:rPr>
          <w:rFonts w:ascii="Times New Roman" w:eastAsia="仿宋" w:hAnsi="Times New Roman"/>
          <w:sz w:val="32"/>
          <w:szCs w:val="32"/>
        </w:rPr>
        <w:t>万吨，减少二氧化硫排放量约</w:t>
      </w:r>
      <w:r>
        <w:rPr>
          <w:rFonts w:ascii="Times New Roman" w:eastAsia="仿宋" w:hAnsi="Times New Roman"/>
          <w:sz w:val="32"/>
          <w:szCs w:val="32"/>
        </w:rPr>
        <w:t>0.2</w:t>
      </w:r>
      <w:r>
        <w:rPr>
          <w:rFonts w:ascii="Times New Roman" w:eastAsia="仿宋" w:hAnsi="Times New Roman"/>
          <w:sz w:val="32"/>
          <w:szCs w:val="32"/>
        </w:rPr>
        <w:t>万吨。</w:t>
      </w:r>
    </w:p>
    <w:p w:rsidR="00D74912" w:rsidRDefault="00FE7708">
      <w:pPr>
        <w:spacing w:line="360" w:lineRule="auto"/>
        <w:ind w:firstLineChars="100" w:firstLine="321"/>
        <w:outlineLvl w:val="2"/>
        <w:rPr>
          <w:rFonts w:ascii="Times New Roman" w:eastAsia="楷体" w:hAnsi="Times New Roman"/>
          <w:b/>
          <w:sz w:val="32"/>
          <w:szCs w:val="32"/>
        </w:rPr>
      </w:pPr>
      <w:r>
        <w:rPr>
          <w:rFonts w:ascii="Times New Roman" w:eastAsia="楷体" w:hAnsi="Times New Roman"/>
          <w:b/>
          <w:sz w:val="32"/>
          <w:szCs w:val="32"/>
        </w:rPr>
        <w:t>（三）预拌混凝土企业整治成效显著</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十三五</w:t>
      </w:r>
      <w:r>
        <w:rPr>
          <w:rFonts w:ascii="Times New Roman" w:eastAsia="仿宋" w:hAnsi="Times New Roman"/>
          <w:sz w:val="32"/>
          <w:szCs w:val="32"/>
        </w:rPr>
        <w:t>”</w:t>
      </w:r>
      <w:r>
        <w:rPr>
          <w:rFonts w:ascii="Times New Roman" w:eastAsia="仿宋" w:hAnsi="Times New Roman"/>
          <w:sz w:val="32"/>
          <w:szCs w:val="32"/>
        </w:rPr>
        <w:t>期间，全市严格按照《钦州市混凝土搅拌企业扬尘污染治理规范》要求，重点整治城区内</w:t>
      </w:r>
      <w:r>
        <w:rPr>
          <w:rFonts w:ascii="Times New Roman" w:eastAsia="仿宋" w:hAnsi="Times New Roman" w:hint="eastAsia"/>
          <w:sz w:val="32"/>
          <w:szCs w:val="32"/>
        </w:rPr>
        <w:t>22</w:t>
      </w:r>
      <w:r>
        <w:rPr>
          <w:rFonts w:ascii="Times New Roman" w:eastAsia="仿宋" w:hAnsi="Times New Roman"/>
          <w:sz w:val="32"/>
          <w:szCs w:val="32"/>
        </w:rPr>
        <w:t>家企业，分别为</w:t>
      </w:r>
      <w:r>
        <w:rPr>
          <w:rFonts w:ascii="Times New Roman" w:eastAsia="仿宋" w:hAnsi="Times New Roman"/>
          <w:sz w:val="32"/>
          <w:szCs w:val="32"/>
        </w:rPr>
        <w:t>:</w:t>
      </w:r>
      <w:r>
        <w:rPr>
          <w:rFonts w:ascii="Times New Roman" w:eastAsia="仿宋" w:hAnsi="Times New Roman"/>
          <w:sz w:val="32"/>
          <w:szCs w:val="32"/>
        </w:rPr>
        <w:t>钦南区</w:t>
      </w:r>
      <w:r>
        <w:rPr>
          <w:rFonts w:ascii="Times New Roman" w:eastAsia="仿宋" w:hAnsi="Times New Roman"/>
          <w:sz w:val="32"/>
          <w:szCs w:val="32"/>
        </w:rPr>
        <w:t>10</w:t>
      </w:r>
      <w:r>
        <w:rPr>
          <w:rFonts w:ascii="Times New Roman" w:eastAsia="仿宋" w:hAnsi="Times New Roman"/>
          <w:sz w:val="32"/>
          <w:szCs w:val="32"/>
        </w:rPr>
        <w:t>家、钦北区</w:t>
      </w:r>
      <w:r>
        <w:rPr>
          <w:rFonts w:ascii="Times New Roman" w:eastAsia="仿宋" w:hAnsi="Times New Roman" w:hint="eastAsia"/>
          <w:sz w:val="32"/>
          <w:szCs w:val="32"/>
        </w:rPr>
        <w:t>6</w:t>
      </w:r>
      <w:r>
        <w:rPr>
          <w:rFonts w:ascii="Times New Roman" w:eastAsia="仿宋" w:hAnsi="Times New Roman"/>
          <w:sz w:val="32"/>
          <w:szCs w:val="32"/>
        </w:rPr>
        <w:t>家、钦州港</w:t>
      </w:r>
      <w:r>
        <w:rPr>
          <w:rFonts w:ascii="Times New Roman" w:eastAsia="仿宋" w:hAnsi="Times New Roman" w:hint="eastAsia"/>
          <w:sz w:val="32"/>
          <w:szCs w:val="32"/>
        </w:rPr>
        <w:t>6</w:t>
      </w:r>
      <w:r>
        <w:rPr>
          <w:rFonts w:ascii="Times New Roman" w:eastAsia="仿宋" w:hAnsi="Times New Roman"/>
          <w:sz w:val="32"/>
          <w:szCs w:val="32"/>
        </w:rPr>
        <w:t>家，针对砂石料堆场、沙石料输送、成品外送车辆、生产场地扬尘治理设施、场地硬化、车辆进出口自动冲洗等设施进行改造。截止</w:t>
      </w:r>
      <w:r>
        <w:rPr>
          <w:rFonts w:ascii="Times New Roman" w:eastAsia="仿宋" w:hAnsi="Times New Roman"/>
          <w:sz w:val="32"/>
          <w:szCs w:val="32"/>
        </w:rPr>
        <w:t>2020</w:t>
      </w:r>
      <w:r>
        <w:rPr>
          <w:rFonts w:ascii="Times New Roman" w:eastAsia="仿宋" w:hAnsi="Times New Roman"/>
          <w:sz w:val="32"/>
          <w:szCs w:val="32"/>
        </w:rPr>
        <w:t>年，整治企业均已完成改造工作。</w:t>
      </w:r>
    </w:p>
    <w:p w:rsidR="00D74912" w:rsidRDefault="00FE7708">
      <w:pPr>
        <w:spacing w:line="360" w:lineRule="auto"/>
        <w:ind w:firstLineChars="100" w:firstLine="321"/>
        <w:outlineLvl w:val="2"/>
        <w:rPr>
          <w:rFonts w:ascii="Times New Roman" w:eastAsia="楷体" w:hAnsi="Times New Roman"/>
          <w:b/>
          <w:sz w:val="32"/>
          <w:szCs w:val="32"/>
        </w:rPr>
      </w:pPr>
      <w:r>
        <w:rPr>
          <w:rFonts w:ascii="Times New Roman" w:eastAsia="楷体" w:hAnsi="Times New Roman"/>
          <w:b/>
          <w:sz w:val="32"/>
          <w:szCs w:val="32"/>
        </w:rPr>
        <w:t>（四）预拌砂浆规模逐步扩大</w:t>
      </w:r>
    </w:p>
    <w:p w:rsidR="00D74912" w:rsidRDefault="00FE7708">
      <w:pPr>
        <w:widowControl/>
        <w:ind w:firstLineChars="100" w:firstLine="320"/>
        <w:rPr>
          <w:rFonts w:ascii="Times New Roman" w:eastAsia="仿宋_GB2312" w:hAnsi="Times New Roman"/>
          <w:kern w:val="0"/>
          <w:sz w:val="31"/>
          <w:szCs w:val="31"/>
        </w:rPr>
      </w:pPr>
      <w:r>
        <w:rPr>
          <w:rFonts w:ascii="Times New Roman" w:eastAsia="仿宋" w:hAnsi="Times New Roman"/>
          <w:sz w:val="32"/>
          <w:szCs w:val="32"/>
        </w:rPr>
        <w:t>“</w:t>
      </w:r>
      <w:r>
        <w:rPr>
          <w:rFonts w:ascii="Times New Roman" w:eastAsia="仿宋" w:hAnsi="Times New Roman"/>
          <w:sz w:val="32"/>
          <w:szCs w:val="32"/>
        </w:rPr>
        <w:t>十三五</w:t>
      </w:r>
      <w:r>
        <w:rPr>
          <w:rFonts w:ascii="Times New Roman" w:eastAsia="仿宋" w:hAnsi="Times New Roman"/>
          <w:sz w:val="32"/>
          <w:szCs w:val="32"/>
        </w:rPr>
        <w:t>”</w:t>
      </w:r>
      <w:r>
        <w:rPr>
          <w:rFonts w:ascii="Times New Roman" w:eastAsia="仿宋" w:hAnsi="Times New Roman"/>
          <w:sz w:val="32"/>
          <w:szCs w:val="32"/>
        </w:rPr>
        <w:t>期间，全市建成预拌砂浆站点</w:t>
      </w:r>
      <w:r>
        <w:rPr>
          <w:rFonts w:ascii="Times New Roman" w:eastAsia="仿宋" w:hAnsi="Times New Roman"/>
          <w:sz w:val="32"/>
          <w:szCs w:val="32"/>
        </w:rPr>
        <w:t>5</w:t>
      </w:r>
      <w:r>
        <w:rPr>
          <w:rFonts w:ascii="Times New Roman" w:eastAsia="仿宋" w:hAnsi="Times New Roman"/>
          <w:sz w:val="32"/>
          <w:szCs w:val="32"/>
        </w:rPr>
        <w:t>个，设计总产能</w:t>
      </w:r>
      <w:r>
        <w:rPr>
          <w:rFonts w:ascii="Times New Roman" w:eastAsia="仿宋" w:hAnsi="Times New Roman"/>
          <w:sz w:val="32"/>
          <w:szCs w:val="32"/>
        </w:rPr>
        <w:t>137</w:t>
      </w:r>
      <w:r>
        <w:rPr>
          <w:rFonts w:ascii="Times New Roman" w:eastAsia="仿宋" w:hAnsi="Times New Roman"/>
          <w:sz w:val="32"/>
          <w:szCs w:val="32"/>
        </w:rPr>
        <w:t>万吨</w:t>
      </w:r>
      <w:r>
        <w:rPr>
          <w:rFonts w:ascii="Times New Roman" w:eastAsia="仿宋" w:hAnsi="Times New Roman"/>
          <w:sz w:val="32"/>
          <w:szCs w:val="32"/>
        </w:rPr>
        <w:t>/</w:t>
      </w:r>
      <w:r>
        <w:rPr>
          <w:rFonts w:ascii="Times New Roman" w:eastAsia="仿宋" w:hAnsi="Times New Roman"/>
          <w:sz w:val="32"/>
          <w:szCs w:val="32"/>
        </w:rPr>
        <w:t>年，产品涵盖普通砂浆和各种特种</w:t>
      </w:r>
      <w:r>
        <w:rPr>
          <w:rFonts w:ascii="Times New Roman" w:eastAsia="仿宋" w:hAnsi="Times New Roman" w:hint="eastAsia"/>
          <w:sz w:val="32"/>
          <w:szCs w:val="32"/>
        </w:rPr>
        <w:t>？</w:t>
      </w:r>
      <w:r>
        <w:rPr>
          <w:rFonts w:ascii="Times New Roman" w:eastAsia="仿宋" w:hAnsi="Times New Roman"/>
          <w:sz w:val="32"/>
          <w:szCs w:val="32"/>
        </w:rPr>
        <w:t>砂浆，基本满足市场需求。同时预拌砂浆的生产和应用技术也逐步提高，</w:t>
      </w:r>
      <w:r>
        <w:rPr>
          <w:rFonts w:ascii="Times New Roman" w:eastAsia="仿宋_GB2312" w:hAnsi="Times New Roman"/>
          <w:kern w:val="0"/>
          <w:sz w:val="31"/>
          <w:szCs w:val="31"/>
        </w:rPr>
        <w:t>为进一步推广使用预拌砂浆工作打下了良好基础。</w:t>
      </w:r>
    </w:p>
    <w:p w:rsidR="00D74912" w:rsidRDefault="00D74912">
      <w:pPr>
        <w:widowControl/>
        <w:ind w:firstLineChars="100" w:firstLine="210"/>
        <w:rPr>
          <w:rFonts w:ascii="Times New Roman" w:hAnsi="Times New Roman"/>
        </w:rPr>
      </w:pPr>
    </w:p>
    <w:p w:rsidR="00D74912" w:rsidRDefault="00FE7708">
      <w:pPr>
        <w:spacing w:line="360" w:lineRule="auto"/>
        <w:jc w:val="left"/>
        <w:outlineLvl w:val="1"/>
        <w:rPr>
          <w:rFonts w:ascii="Times New Roman" w:eastAsia="黑体" w:hAnsi="Times New Roman"/>
          <w:b/>
          <w:sz w:val="28"/>
          <w:szCs w:val="28"/>
        </w:rPr>
      </w:pPr>
      <w:bookmarkStart w:id="25" w:name="_Toc21310"/>
      <w:bookmarkStart w:id="26" w:name="_Toc31534"/>
      <w:bookmarkStart w:id="27" w:name="_Toc3690"/>
      <w:r>
        <w:rPr>
          <w:rFonts w:ascii="Times New Roman" w:eastAsia="黑体" w:hAnsi="Times New Roman"/>
          <w:b/>
          <w:sz w:val="32"/>
          <w:szCs w:val="28"/>
        </w:rPr>
        <w:t>三、存在的问题</w:t>
      </w:r>
      <w:bookmarkEnd w:id="25"/>
      <w:bookmarkEnd w:id="26"/>
      <w:bookmarkEnd w:id="27"/>
    </w:p>
    <w:p w:rsidR="00D74912" w:rsidRDefault="00FE7708">
      <w:pPr>
        <w:spacing w:line="360" w:lineRule="auto"/>
        <w:ind w:firstLineChars="200" w:firstLine="643"/>
        <w:outlineLvl w:val="2"/>
        <w:rPr>
          <w:rFonts w:ascii="Times New Roman" w:eastAsia="楷体" w:hAnsi="Times New Roman"/>
          <w:b/>
          <w:sz w:val="32"/>
          <w:szCs w:val="32"/>
        </w:rPr>
      </w:pPr>
      <w:r>
        <w:rPr>
          <w:rFonts w:ascii="Times New Roman" w:eastAsia="楷体" w:hAnsi="Times New Roman"/>
          <w:b/>
          <w:sz w:val="32"/>
          <w:szCs w:val="32"/>
        </w:rPr>
        <w:t>（一）原材料保障水平有待提高</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lastRenderedPageBreak/>
        <w:t>主要体现在砂石原材料质量保障水平低；长期以来由于缺乏相关产业规划和政策的引导，砂石、掺合料企业生产和销售的管理无法规范化，企业生产规模、技术和质量管理水平参差不齐，钦州市砂石资源开采以小矿点居多，区域供给不稳定，而且多数企业未设置试验室，出厂的产品质量不稳定，且未进行合格性检验，在一定程度上影响预拌混凝土行业产品质量。</w:t>
      </w:r>
    </w:p>
    <w:p w:rsidR="00D74912" w:rsidRDefault="00FE7708">
      <w:pPr>
        <w:spacing w:line="360" w:lineRule="auto"/>
        <w:ind w:firstLineChars="200" w:firstLine="643"/>
        <w:outlineLvl w:val="2"/>
        <w:rPr>
          <w:rFonts w:ascii="Times New Roman" w:eastAsia="楷体" w:hAnsi="Times New Roman"/>
          <w:b/>
          <w:sz w:val="32"/>
          <w:szCs w:val="32"/>
        </w:rPr>
      </w:pPr>
      <w:r>
        <w:rPr>
          <w:rFonts w:ascii="Times New Roman" w:eastAsia="楷体" w:hAnsi="Times New Roman"/>
          <w:b/>
          <w:sz w:val="32"/>
          <w:szCs w:val="32"/>
        </w:rPr>
        <w:t>（二）预拌混凝土行业管理有待加强</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一是各县区预拌混凝土发展不平衡问题突出，全市预拌混凝土产能利用率</w:t>
      </w:r>
      <w:r>
        <w:rPr>
          <w:rFonts w:ascii="Times New Roman" w:eastAsia="仿宋" w:hAnsi="Times New Roman" w:hint="eastAsia"/>
          <w:sz w:val="32"/>
          <w:szCs w:val="32"/>
        </w:rPr>
        <w:t>低，</w:t>
      </w:r>
      <w:r>
        <w:rPr>
          <w:rFonts w:ascii="Times New Roman" w:eastAsia="仿宋" w:hAnsi="Times New Roman"/>
          <w:sz w:val="32"/>
          <w:szCs w:val="32"/>
        </w:rPr>
        <w:t>平均为</w:t>
      </w:r>
      <w:r>
        <w:rPr>
          <w:rFonts w:ascii="Times New Roman" w:eastAsia="仿宋" w:hAnsi="Times New Roman"/>
          <w:sz w:val="32"/>
          <w:szCs w:val="32"/>
        </w:rPr>
        <w:t>30%</w:t>
      </w:r>
      <w:r>
        <w:rPr>
          <w:rFonts w:ascii="Times New Roman" w:eastAsia="仿宋" w:hAnsi="Times New Roman"/>
          <w:sz w:val="32"/>
          <w:szCs w:val="32"/>
        </w:rPr>
        <w:t>，部分县区仅为</w:t>
      </w:r>
      <w:r>
        <w:rPr>
          <w:rFonts w:ascii="Times New Roman" w:eastAsia="仿宋" w:hAnsi="Times New Roman"/>
          <w:sz w:val="32"/>
          <w:szCs w:val="32"/>
        </w:rPr>
        <w:t>20%</w:t>
      </w:r>
      <w:r>
        <w:rPr>
          <w:rFonts w:ascii="Times New Roman" w:eastAsia="仿宋" w:hAnsi="Times New Roman"/>
          <w:sz w:val="32"/>
          <w:szCs w:val="32"/>
        </w:rPr>
        <w:t>，产能过剩严重，而现有预拌混凝土产能主要集中在城区及周边，乡镇地区发展相对缓慢，亟需优化布局；二是行业自律性差，近两年受市场影响，预拌混凝土供应量偏低，各企业间内部低价竞争</w:t>
      </w:r>
      <w:r>
        <w:rPr>
          <w:rFonts w:ascii="Times New Roman" w:eastAsia="仿宋" w:hAnsi="Times New Roman" w:hint="eastAsia"/>
          <w:sz w:val="32"/>
          <w:szCs w:val="32"/>
        </w:rPr>
        <w:t>问题</w:t>
      </w:r>
      <w:r>
        <w:rPr>
          <w:rFonts w:ascii="Times New Roman" w:eastAsia="仿宋" w:hAnsi="Times New Roman"/>
          <w:sz w:val="32"/>
          <w:szCs w:val="32"/>
        </w:rPr>
        <w:t>严重，市场的良性发展难以保证；三是受限于行业技术人才资源不足，全市预拌混凝土企业试验室技术人员紧缺问题较为突出，同时试验室检验及管理能力仍需提高。</w:t>
      </w:r>
    </w:p>
    <w:p w:rsidR="00D74912" w:rsidRDefault="00FE7708">
      <w:pPr>
        <w:spacing w:line="360" w:lineRule="auto"/>
        <w:ind w:firstLineChars="200" w:firstLine="643"/>
        <w:outlineLvl w:val="2"/>
        <w:rPr>
          <w:rFonts w:ascii="Times New Roman" w:eastAsia="楷体" w:hAnsi="Times New Roman"/>
          <w:b/>
          <w:sz w:val="32"/>
          <w:szCs w:val="32"/>
        </w:rPr>
      </w:pPr>
      <w:r>
        <w:rPr>
          <w:rFonts w:ascii="Times New Roman" w:eastAsia="楷体" w:hAnsi="Times New Roman"/>
          <w:b/>
          <w:sz w:val="32"/>
          <w:szCs w:val="32"/>
        </w:rPr>
        <w:t>（三）预拌砂浆推广应用进度缓慢</w:t>
      </w:r>
    </w:p>
    <w:p w:rsidR="00D74912" w:rsidRDefault="00FE7708">
      <w:pPr>
        <w:pStyle w:val="2"/>
        <w:ind w:left="0" w:firstLineChars="200" w:firstLine="640"/>
        <w:rPr>
          <w:rFonts w:ascii="Times New Roman" w:eastAsia="仿宋" w:hAnsi="Times New Roman"/>
          <w:sz w:val="32"/>
          <w:szCs w:val="32"/>
        </w:rPr>
      </w:pPr>
      <w:r>
        <w:rPr>
          <w:rFonts w:ascii="Times New Roman" w:eastAsia="仿宋" w:hAnsi="Times New Roman"/>
          <w:sz w:val="32"/>
          <w:szCs w:val="32"/>
        </w:rPr>
        <w:t>一是行业缺乏政策指引，目前钦州市暂未出台推进预拌砂浆发展相关政策措施，行政监管力度难以发挥，在规范化管理方面与区内其他城市差距进一步拉大；二是市场竞争力弱，全市现有预拌砂浆生产企业产品主要销往市外（大部分</w:t>
      </w:r>
      <w:r>
        <w:rPr>
          <w:rFonts w:ascii="Times New Roman" w:eastAsia="仿宋" w:hAnsi="Times New Roman"/>
          <w:sz w:val="32"/>
          <w:szCs w:val="32"/>
        </w:rPr>
        <w:lastRenderedPageBreak/>
        <w:t>销往广东地区），市内实际市场需求不足</w:t>
      </w:r>
      <w:r>
        <w:rPr>
          <w:rFonts w:ascii="Times New Roman" w:eastAsia="仿宋" w:hAnsi="Times New Roman"/>
          <w:sz w:val="32"/>
          <w:szCs w:val="32"/>
        </w:rPr>
        <w:t>32%</w:t>
      </w:r>
      <w:r>
        <w:rPr>
          <w:rFonts w:ascii="Times New Roman" w:eastAsia="仿宋" w:hAnsi="Times New Roman"/>
          <w:sz w:val="32"/>
          <w:szCs w:val="32"/>
        </w:rPr>
        <w:t>，整体产能利用率偏低；三是行业技术人员短缺，尤其在物流配送、施工机具、配套材料、施工工艺等方面缺乏专业技术人才，在生产管理、成本核算、资源综合利用、现场施工管理等方面人才储备不足等，在一定程度上影响了预拌砂浆</w:t>
      </w:r>
      <w:r>
        <w:rPr>
          <w:rFonts w:ascii="Times New Roman" w:eastAsia="仿宋" w:hAnsi="Times New Roman" w:hint="eastAsia"/>
          <w:sz w:val="32"/>
          <w:szCs w:val="32"/>
        </w:rPr>
        <w:t>的</w:t>
      </w:r>
      <w:r>
        <w:rPr>
          <w:rFonts w:ascii="Times New Roman" w:eastAsia="仿宋" w:hAnsi="Times New Roman"/>
          <w:sz w:val="32"/>
          <w:szCs w:val="32"/>
        </w:rPr>
        <w:t>推广</w:t>
      </w:r>
      <w:r>
        <w:rPr>
          <w:rFonts w:ascii="Times New Roman" w:eastAsia="仿宋" w:hAnsi="Times New Roman" w:hint="eastAsia"/>
          <w:sz w:val="32"/>
          <w:szCs w:val="32"/>
        </w:rPr>
        <w:t>和</w:t>
      </w:r>
      <w:r>
        <w:rPr>
          <w:rFonts w:ascii="Times New Roman" w:eastAsia="仿宋" w:hAnsi="Times New Roman"/>
          <w:sz w:val="32"/>
          <w:szCs w:val="32"/>
        </w:rPr>
        <w:t>应用。</w:t>
      </w:r>
    </w:p>
    <w:p w:rsidR="00D74912" w:rsidRDefault="00FE7708">
      <w:pPr>
        <w:spacing w:line="360" w:lineRule="auto"/>
        <w:ind w:firstLineChars="200" w:firstLine="643"/>
        <w:outlineLvl w:val="2"/>
        <w:rPr>
          <w:rFonts w:ascii="Times New Roman" w:eastAsia="楷体" w:hAnsi="Times New Roman"/>
          <w:b/>
          <w:sz w:val="32"/>
          <w:szCs w:val="32"/>
        </w:rPr>
      </w:pPr>
      <w:r>
        <w:rPr>
          <w:rFonts w:ascii="Times New Roman" w:eastAsia="楷体" w:hAnsi="Times New Roman"/>
          <w:b/>
          <w:sz w:val="32"/>
          <w:szCs w:val="32"/>
        </w:rPr>
        <w:t>（四）绿色发展水平亟需提高</w:t>
      </w:r>
    </w:p>
    <w:p w:rsidR="00D74912" w:rsidRDefault="00FE7708">
      <w:pPr>
        <w:pStyle w:val="2"/>
        <w:ind w:left="0" w:firstLineChars="200" w:firstLine="640"/>
        <w:rPr>
          <w:rFonts w:ascii="Times New Roman" w:eastAsia="仿宋" w:hAnsi="Times New Roman"/>
          <w:sz w:val="32"/>
          <w:szCs w:val="32"/>
        </w:rPr>
      </w:pPr>
      <w:r>
        <w:rPr>
          <w:rFonts w:ascii="Times New Roman" w:eastAsia="仿宋" w:hAnsi="Times New Roman"/>
          <w:sz w:val="32"/>
          <w:szCs w:val="32"/>
        </w:rPr>
        <w:t>由于缺乏相关引导和鼓励政策的推动，</w:t>
      </w:r>
      <w:r>
        <w:rPr>
          <w:rFonts w:ascii="Times New Roman" w:eastAsia="仿宋" w:hAnsi="Times New Roman"/>
          <w:sz w:val="32"/>
          <w:szCs w:val="32"/>
        </w:rPr>
        <w:t>“</w:t>
      </w:r>
      <w:r>
        <w:rPr>
          <w:rFonts w:ascii="Times New Roman" w:eastAsia="仿宋" w:hAnsi="Times New Roman"/>
          <w:sz w:val="32"/>
          <w:szCs w:val="32"/>
        </w:rPr>
        <w:t>十三五</w:t>
      </w:r>
      <w:r>
        <w:rPr>
          <w:rFonts w:ascii="Times New Roman" w:eastAsia="仿宋" w:hAnsi="Times New Roman"/>
          <w:sz w:val="32"/>
          <w:szCs w:val="32"/>
        </w:rPr>
        <w:t>”</w:t>
      </w:r>
      <w:r>
        <w:rPr>
          <w:rFonts w:ascii="Times New Roman" w:eastAsia="仿宋" w:hAnsi="Times New Roman"/>
          <w:sz w:val="32"/>
          <w:szCs w:val="32"/>
        </w:rPr>
        <w:t>期间钦州市预拌混凝土绿色评价、清洁化生产改造等工作推进较慢，企业自愿增加投入开展绿色生产改造的积极性不高，预拌混凝土生产企业绿色生产评价进展缓慢，尚未完成《广西散装水泥、预拌混凝土、预拌砂浆发展</w:t>
      </w:r>
      <w:r>
        <w:rPr>
          <w:rFonts w:ascii="Times New Roman" w:eastAsia="仿宋" w:hAnsi="Times New Roman"/>
          <w:sz w:val="32"/>
          <w:szCs w:val="32"/>
        </w:rPr>
        <w:t>“</w:t>
      </w:r>
      <w:r>
        <w:rPr>
          <w:rFonts w:ascii="Times New Roman" w:eastAsia="仿宋" w:hAnsi="Times New Roman"/>
          <w:sz w:val="32"/>
          <w:szCs w:val="32"/>
        </w:rPr>
        <w:t>十三五</w:t>
      </w:r>
      <w:r>
        <w:rPr>
          <w:rFonts w:ascii="Times New Roman" w:eastAsia="仿宋" w:hAnsi="Times New Roman"/>
          <w:sz w:val="32"/>
          <w:szCs w:val="32"/>
        </w:rPr>
        <w:t>”</w:t>
      </w:r>
      <w:r>
        <w:rPr>
          <w:rFonts w:ascii="Times New Roman" w:eastAsia="仿宋" w:hAnsi="Times New Roman"/>
          <w:sz w:val="32"/>
          <w:szCs w:val="32"/>
        </w:rPr>
        <w:t>规划》提出的预拌混凝土绿色发展目标。目前实现绿色生产和已完成清洁化生产改造的企业占比较低，固废综合利用水平较低，绿色发展水平亟需提高。</w:t>
      </w:r>
    </w:p>
    <w:p w:rsidR="00D74912" w:rsidRDefault="00FE7708">
      <w:pPr>
        <w:spacing w:line="360" w:lineRule="auto"/>
        <w:ind w:firstLineChars="200" w:firstLine="643"/>
        <w:outlineLvl w:val="2"/>
        <w:rPr>
          <w:rFonts w:ascii="Times New Roman" w:eastAsia="楷体" w:hAnsi="Times New Roman"/>
          <w:b/>
          <w:sz w:val="32"/>
          <w:szCs w:val="32"/>
        </w:rPr>
      </w:pPr>
      <w:r>
        <w:rPr>
          <w:rFonts w:ascii="Times New Roman" w:eastAsia="楷体" w:hAnsi="Times New Roman"/>
          <w:b/>
          <w:sz w:val="32"/>
          <w:szCs w:val="32"/>
        </w:rPr>
        <w:t>（五）行业监管体系建设仍需完善</w:t>
      </w:r>
    </w:p>
    <w:p w:rsidR="00D74912" w:rsidRDefault="00FE7708">
      <w:pPr>
        <w:spacing w:line="360" w:lineRule="auto"/>
        <w:ind w:firstLineChars="200" w:firstLine="640"/>
        <w:rPr>
          <w:rFonts w:ascii="Times New Roman" w:eastAsia="仿宋" w:hAnsi="Times New Roman"/>
          <w:b/>
          <w:sz w:val="32"/>
          <w:szCs w:val="32"/>
        </w:rPr>
      </w:pPr>
      <w:r>
        <w:rPr>
          <w:rFonts w:ascii="Times New Roman" w:eastAsia="仿宋" w:hAnsi="Times New Roman"/>
          <w:sz w:val="32"/>
          <w:szCs w:val="32"/>
        </w:rPr>
        <w:t>目前钦州市暂未出台预拌混凝土行业相关政策规划措施，在行业布局管理、遏制产能无限扩张、维护预拌混凝土市场秩序、保障预拌混凝土生产安全、提升环保及产品质量等方面，缺乏长效管理机制；另外目前全市尚未建立针对预拌砂浆和水泥制品发展的管理机制，不利于未来几年推动行业高质量发展。</w:t>
      </w:r>
    </w:p>
    <w:p w:rsidR="00D74912" w:rsidRDefault="00D74912">
      <w:pPr>
        <w:rPr>
          <w:rFonts w:ascii="Times New Roman" w:hAnsi="Times New Roman"/>
          <w:sz w:val="32"/>
          <w:szCs w:val="32"/>
        </w:rPr>
        <w:sectPr w:rsidR="00D74912">
          <w:pgSz w:w="11906" w:h="16838"/>
          <w:pgMar w:top="1440" w:right="1800" w:bottom="1440" w:left="1800" w:header="851" w:footer="992" w:gutter="0"/>
          <w:cols w:space="425"/>
          <w:docGrid w:type="lines" w:linePitch="312"/>
        </w:sectPr>
      </w:pPr>
    </w:p>
    <w:p w:rsidR="00D74912" w:rsidRDefault="00FE7708">
      <w:pPr>
        <w:pStyle w:val="2"/>
        <w:ind w:left="0"/>
        <w:jc w:val="center"/>
        <w:outlineLvl w:val="0"/>
        <w:rPr>
          <w:rFonts w:ascii="Times New Roman" w:eastAsia="黑体" w:hAnsi="Times New Roman"/>
          <w:kern w:val="0"/>
          <w:sz w:val="36"/>
          <w:szCs w:val="36"/>
        </w:rPr>
      </w:pPr>
      <w:bookmarkStart w:id="28" w:name="_Toc25064"/>
      <w:bookmarkStart w:id="29" w:name="_Toc30735"/>
      <w:bookmarkStart w:id="30" w:name="_Toc26784"/>
      <w:r>
        <w:rPr>
          <w:rFonts w:ascii="Times New Roman" w:eastAsia="黑体" w:hAnsi="Times New Roman"/>
          <w:kern w:val="0"/>
          <w:sz w:val="36"/>
          <w:szCs w:val="36"/>
        </w:rPr>
        <w:lastRenderedPageBreak/>
        <w:t>第二章</w:t>
      </w:r>
      <w:r>
        <w:rPr>
          <w:rFonts w:ascii="Times New Roman" w:eastAsia="黑体" w:hAnsi="Times New Roman"/>
          <w:kern w:val="0"/>
          <w:sz w:val="36"/>
          <w:szCs w:val="36"/>
        </w:rPr>
        <w:t xml:space="preserve"> </w:t>
      </w:r>
      <w:r>
        <w:rPr>
          <w:rFonts w:ascii="Times New Roman" w:eastAsia="黑体" w:hAnsi="Times New Roman"/>
          <w:kern w:val="0"/>
          <w:sz w:val="36"/>
          <w:szCs w:val="36"/>
        </w:rPr>
        <w:t>发展环境</w:t>
      </w:r>
      <w:bookmarkEnd w:id="28"/>
      <w:bookmarkEnd w:id="29"/>
      <w:bookmarkEnd w:id="30"/>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32"/>
        </w:rPr>
      </w:pPr>
      <w:bookmarkStart w:id="31" w:name="_Toc27034"/>
      <w:bookmarkStart w:id="32" w:name="_Toc7186"/>
      <w:bookmarkStart w:id="33" w:name="_Toc15400"/>
      <w:r>
        <w:rPr>
          <w:rFonts w:ascii="Times New Roman" w:eastAsia="黑体" w:hAnsi="Times New Roman"/>
          <w:bCs/>
          <w:sz w:val="32"/>
          <w:szCs w:val="32"/>
        </w:rPr>
        <w:t>一、发展形势</w:t>
      </w:r>
      <w:bookmarkEnd w:id="31"/>
      <w:bookmarkEnd w:id="32"/>
      <w:bookmarkEnd w:id="33"/>
    </w:p>
    <w:p w:rsidR="00D74912" w:rsidRDefault="00FE7708">
      <w:pPr>
        <w:pStyle w:val="2"/>
        <w:ind w:left="0"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十四五</w:t>
      </w:r>
      <w:r>
        <w:rPr>
          <w:rFonts w:ascii="Times New Roman" w:eastAsia="仿宋" w:hAnsi="Times New Roman"/>
          <w:sz w:val="32"/>
          <w:szCs w:val="32"/>
        </w:rPr>
        <w:t>”</w:t>
      </w:r>
      <w:r>
        <w:rPr>
          <w:rFonts w:ascii="Times New Roman" w:eastAsia="仿宋" w:hAnsi="Times New Roman"/>
          <w:sz w:val="32"/>
          <w:szCs w:val="32"/>
        </w:rPr>
        <w:t>时期，钦州市发展仍处于大有作为的重要战略机遇期。从全球</w:t>
      </w:r>
      <w:r>
        <w:rPr>
          <w:rFonts w:ascii="Times New Roman" w:eastAsia="仿宋" w:hAnsi="Times New Roman" w:hint="eastAsia"/>
          <w:sz w:val="32"/>
          <w:szCs w:val="32"/>
        </w:rPr>
        <w:t>（国际？）</w:t>
      </w:r>
      <w:r>
        <w:rPr>
          <w:rFonts w:ascii="Times New Roman" w:eastAsia="仿宋" w:hAnsi="Times New Roman"/>
          <w:sz w:val="32"/>
          <w:szCs w:val="32"/>
        </w:rPr>
        <w:t>看，新一轮科技革命和产业变革深入发展，经济全球化大趋势不变，但贸易保护主义抬头，全球贸易、供应链不稳定性明显增加，随着钦州市外向型经济水平的提高，发展受国际环境的影响更大。从国内看，我国进入新发展阶段，立足中华民族伟大复兴战略全局、世界百年未有之大变局</w:t>
      </w:r>
      <w:r>
        <w:rPr>
          <w:rFonts w:ascii="Times New Roman" w:eastAsia="仿宋" w:hAnsi="Times New Roman"/>
          <w:sz w:val="32"/>
          <w:szCs w:val="32"/>
        </w:rPr>
        <w:t>“</w:t>
      </w:r>
      <w:r>
        <w:rPr>
          <w:rFonts w:ascii="Times New Roman" w:eastAsia="仿宋" w:hAnsi="Times New Roman"/>
          <w:sz w:val="32"/>
          <w:szCs w:val="32"/>
        </w:rPr>
        <w:t>两个大局</w:t>
      </w:r>
      <w:r>
        <w:rPr>
          <w:rFonts w:ascii="Times New Roman" w:eastAsia="仿宋" w:hAnsi="Times New Roman"/>
          <w:sz w:val="32"/>
          <w:szCs w:val="32"/>
        </w:rPr>
        <w:t>”</w:t>
      </w:r>
      <w:r>
        <w:rPr>
          <w:rFonts w:ascii="Times New Roman" w:eastAsia="仿宋" w:hAnsi="Times New Roman"/>
          <w:sz w:val="32"/>
          <w:szCs w:val="32"/>
        </w:rPr>
        <w:t>，加快形成以国内大循环为主体、国内国际双循环相互促进的新发展格局，加快新型工业化城镇化步伐，加快构建现代产业体系，区域发展布局、增长动力等加快重构，经济发展将保持强劲活力、韧性、稳定性。从区域经济看，《区域全面经济伙伴关系协定》签署，新时代推动西部大开发形成新格局、西部陆海新通道、中国（广西）自由贸易试验区、面向东盟的金融开放门户、中国</w:t>
      </w:r>
      <w:r>
        <w:rPr>
          <w:rFonts w:ascii="Times New Roman" w:eastAsia="仿宋" w:hAnsi="Times New Roman"/>
          <w:sz w:val="32"/>
          <w:szCs w:val="32"/>
        </w:rPr>
        <w:t>—</w:t>
      </w:r>
      <w:r>
        <w:rPr>
          <w:rFonts w:ascii="Times New Roman" w:eastAsia="仿宋" w:hAnsi="Times New Roman"/>
          <w:sz w:val="32"/>
          <w:szCs w:val="32"/>
        </w:rPr>
        <w:t>东盟信息港等国家战略全面实施，自治区全面推进北钦防一体化、北部湾国际门户港、北部湾经济区与粤港澳大湾区</w:t>
      </w:r>
      <w:r>
        <w:rPr>
          <w:rFonts w:ascii="Times New Roman" w:eastAsia="仿宋" w:hAnsi="Times New Roman"/>
          <w:sz w:val="32"/>
          <w:szCs w:val="32"/>
        </w:rPr>
        <w:t>“</w:t>
      </w:r>
      <w:r>
        <w:rPr>
          <w:rFonts w:ascii="Times New Roman" w:eastAsia="仿宋" w:hAnsi="Times New Roman"/>
          <w:sz w:val="32"/>
          <w:szCs w:val="32"/>
        </w:rPr>
        <w:t>两湾</w:t>
      </w:r>
      <w:r>
        <w:rPr>
          <w:rFonts w:ascii="Times New Roman" w:eastAsia="仿宋" w:hAnsi="Times New Roman"/>
          <w:sz w:val="32"/>
          <w:szCs w:val="32"/>
        </w:rPr>
        <w:t>”</w:t>
      </w:r>
      <w:r>
        <w:rPr>
          <w:rFonts w:ascii="Times New Roman" w:eastAsia="仿宋" w:hAnsi="Times New Roman"/>
          <w:sz w:val="32"/>
          <w:szCs w:val="32"/>
        </w:rPr>
        <w:t>联动等重大战略。随着这些战略的深入实施，钦州市作为多重战略交汇的陆海枢纽，处于重大战略机遇的叠加期、窗口期，有利于推动区位、交通、港口等优势进一步转化为经济优势、竞争优势，有条件在以面向东盟、服务西南中南西北为重点的国内外开放合作中争创竞争新优势、赢得</w:t>
      </w:r>
      <w:r>
        <w:rPr>
          <w:rFonts w:ascii="Times New Roman" w:eastAsia="仿宋" w:hAnsi="Times New Roman"/>
          <w:sz w:val="32"/>
          <w:szCs w:val="32"/>
        </w:rPr>
        <w:lastRenderedPageBreak/>
        <w:t>更多发展先机，衔接</w:t>
      </w:r>
      <w:r>
        <w:rPr>
          <w:rFonts w:ascii="Times New Roman" w:eastAsia="仿宋" w:hAnsi="Times New Roman"/>
          <w:sz w:val="32"/>
          <w:szCs w:val="32"/>
        </w:rPr>
        <w:t>“</w:t>
      </w:r>
      <w:r>
        <w:rPr>
          <w:rFonts w:ascii="Times New Roman" w:eastAsia="仿宋" w:hAnsi="Times New Roman"/>
          <w:sz w:val="32"/>
          <w:szCs w:val="32"/>
        </w:rPr>
        <w:t>一带一路</w:t>
      </w:r>
      <w:r>
        <w:rPr>
          <w:rFonts w:ascii="Times New Roman" w:eastAsia="仿宋" w:hAnsi="Times New Roman"/>
          <w:sz w:val="32"/>
          <w:szCs w:val="32"/>
        </w:rPr>
        <w:t>”</w:t>
      </w:r>
      <w:r>
        <w:rPr>
          <w:rFonts w:ascii="Times New Roman" w:eastAsia="仿宋" w:hAnsi="Times New Roman"/>
          <w:sz w:val="32"/>
          <w:szCs w:val="32"/>
        </w:rPr>
        <w:t>、连接国内国际双循环的枢纽节点作用更加凸显。</w:t>
      </w:r>
      <w:r>
        <w:rPr>
          <w:rFonts w:ascii="Times New Roman" w:eastAsia="仿宋" w:hAnsi="Times New Roman"/>
          <w:sz w:val="32"/>
          <w:szCs w:val="32"/>
        </w:rPr>
        <w:t>“</w:t>
      </w:r>
      <w:r>
        <w:rPr>
          <w:rFonts w:ascii="Times New Roman" w:eastAsia="仿宋" w:hAnsi="Times New Roman"/>
          <w:sz w:val="32"/>
          <w:szCs w:val="32"/>
        </w:rPr>
        <w:t>十四五</w:t>
      </w:r>
      <w:r>
        <w:rPr>
          <w:rFonts w:ascii="Times New Roman" w:eastAsia="仿宋" w:hAnsi="Times New Roman"/>
          <w:sz w:val="32"/>
          <w:szCs w:val="32"/>
        </w:rPr>
        <w:t>”</w:t>
      </w:r>
      <w:r>
        <w:rPr>
          <w:rFonts w:ascii="Times New Roman" w:eastAsia="仿宋" w:hAnsi="Times New Roman"/>
          <w:sz w:val="32"/>
          <w:szCs w:val="32"/>
        </w:rPr>
        <w:t>期间，钦州市高质量发展为全市散装水泥行业的发展提供了更广阔的市场空间和需求保障，同时也对行业发展质量提出了更高的要求。</w:t>
      </w:r>
    </w:p>
    <w:p w:rsidR="00D74912" w:rsidRDefault="00D74912">
      <w:pPr>
        <w:pStyle w:val="2"/>
        <w:ind w:left="0" w:firstLineChars="200" w:firstLine="640"/>
        <w:rPr>
          <w:rFonts w:ascii="Times New Roman" w:eastAsia="仿宋" w:hAnsi="Times New Roman"/>
          <w:sz w:val="32"/>
          <w:szCs w:val="32"/>
        </w:rPr>
      </w:pP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32"/>
        </w:rPr>
      </w:pPr>
      <w:bookmarkStart w:id="34" w:name="_Toc24440"/>
      <w:bookmarkStart w:id="35" w:name="_Toc15082"/>
      <w:bookmarkStart w:id="36" w:name="_Toc14220"/>
      <w:r>
        <w:rPr>
          <w:rFonts w:ascii="Times New Roman" w:eastAsia="黑体" w:hAnsi="Times New Roman"/>
          <w:bCs/>
          <w:sz w:val="32"/>
          <w:szCs w:val="32"/>
        </w:rPr>
        <w:t>二、机遇和挑战</w:t>
      </w:r>
      <w:bookmarkEnd w:id="34"/>
      <w:bookmarkEnd w:id="35"/>
      <w:bookmarkEnd w:id="36"/>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（一）全市经济社会高质量发展目标的达成带来新机遇</w:t>
      </w:r>
    </w:p>
    <w:p w:rsidR="00D74912" w:rsidRDefault="00FE7708">
      <w:pPr>
        <w:ind w:firstLineChars="200" w:firstLine="640"/>
        <w:rPr>
          <w:rFonts w:ascii="Times New Roman" w:eastAsia="仿宋" w:hAnsi="Times New Roman"/>
          <w:sz w:val="32"/>
          <w:szCs w:val="32"/>
        </w:rPr>
      </w:pPr>
      <w:r>
        <w:rPr>
          <w:rFonts w:ascii="Times New Roman" w:eastAsia="仿宋" w:hAnsi="Times New Roman"/>
          <w:sz w:val="32"/>
          <w:szCs w:val="32"/>
        </w:rPr>
        <w:t>《钦州市国民经济和社会发展第十四个五年规划和二〇三五年远景目标纲要》提出的</w:t>
      </w:r>
      <w:r>
        <w:rPr>
          <w:rFonts w:ascii="Times New Roman" w:eastAsia="仿宋" w:hAnsi="Times New Roman"/>
          <w:sz w:val="32"/>
          <w:szCs w:val="32"/>
        </w:rPr>
        <w:t>“</w:t>
      </w:r>
      <w:r>
        <w:rPr>
          <w:rFonts w:ascii="Times New Roman" w:eastAsia="仿宋" w:hAnsi="Times New Roman"/>
          <w:sz w:val="32"/>
          <w:szCs w:val="32"/>
        </w:rPr>
        <w:t>十四五</w:t>
      </w:r>
      <w:r>
        <w:rPr>
          <w:rFonts w:ascii="Times New Roman" w:eastAsia="仿宋" w:hAnsi="Times New Roman"/>
          <w:sz w:val="32"/>
          <w:szCs w:val="32"/>
        </w:rPr>
        <w:t>”</w:t>
      </w:r>
      <w:r>
        <w:rPr>
          <w:rFonts w:ascii="Times New Roman" w:eastAsia="仿宋" w:hAnsi="Times New Roman"/>
          <w:sz w:val="32"/>
          <w:szCs w:val="32"/>
        </w:rPr>
        <w:t>发展目标为：</w:t>
      </w:r>
      <w:r>
        <w:rPr>
          <w:rFonts w:ascii="Times New Roman" w:eastAsia="仿宋" w:hAnsi="Times New Roman"/>
          <w:sz w:val="32"/>
          <w:szCs w:val="32"/>
        </w:rPr>
        <w:t>“</w:t>
      </w:r>
      <w:r>
        <w:rPr>
          <w:rFonts w:ascii="Times New Roman" w:eastAsia="仿宋" w:hAnsi="Times New Roman"/>
          <w:sz w:val="32"/>
          <w:szCs w:val="32"/>
        </w:rPr>
        <w:t>高标准完成自贸试验区钦州港片区、北部湾千万标箱大港、北部湾临海核心工业区建设任务</w:t>
      </w:r>
      <w:bookmarkStart w:id="37" w:name="_GoBack"/>
      <w:bookmarkEnd w:id="37"/>
      <w:r>
        <w:rPr>
          <w:rFonts w:ascii="Times New Roman" w:eastAsia="仿宋" w:hAnsi="Times New Roman"/>
          <w:sz w:val="32"/>
          <w:szCs w:val="32"/>
        </w:rPr>
        <w:t>，</w:t>
      </w:r>
      <w:r>
        <w:rPr>
          <w:rFonts w:ascii="Times New Roman" w:eastAsia="仿宋" w:hAnsi="Times New Roman" w:hint="eastAsia"/>
          <w:sz w:val="32"/>
          <w:szCs w:val="32"/>
        </w:rPr>
        <w:t>着力“建大港、兴产业、造滨城”，坚持“政策为大、项目为主、环境为本、创新为要”</w:t>
      </w:r>
      <w:r>
        <w:rPr>
          <w:rFonts w:ascii="Times New Roman" w:eastAsia="仿宋" w:hAnsi="Times New Roman"/>
          <w:sz w:val="32"/>
          <w:szCs w:val="32"/>
        </w:rPr>
        <w:t>，成为广西工业强市，高水平开放高质量发展走在全区前列。其中包含：</w:t>
      </w:r>
      <w:r>
        <w:rPr>
          <w:rFonts w:ascii="Times New Roman" w:eastAsia="仿宋" w:hAnsi="Times New Roman"/>
          <w:sz w:val="32"/>
          <w:szCs w:val="32"/>
        </w:rPr>
        <w:t>2025</w:t>
      </w:r>
      <w:r>
        <w:rPr>
          <w:rFonts w:ascii="Times New Roman" w:eastAsia="仿宋" w:hAnsi="Times New Roman"/>
          <w:sz w:val="32"/>
          <w:szCs w:val="32"/>
        </w:rPr>
        <w:t>年规模以上工业总产值超过</w:t>
      </w:r>
      <w:r>
        <w:rPr>
          <w:rFonts w:ascii="Times New Roman" w:eastAsia="仿宋" w:hAnsi="Times New Roman"/>
          <w:sz w:val="32"/>
          <w:szCs w:val="32"/>
        </w:rPr>
        <w:t>3000</w:t>
      </w:r>
      <w:r>
        <w:rPr>
          <w:rFonts w:ascii="Times New Roman" w:eastAsia="仿宋" w:hAnsi="Times New Roman"/>
          <w:sz w:val="32"/>
          <w:szCs w:val="32"/>
        </w:rPr>
        <w:t>亿元，工业增加值占</w:t>
      </w:r>
      <w:r>
        <w:rPr>
          <w:rFonts w:ascii="Times New Roman" w:eastAsia="仿宋" w:hAnsi="Times New Roman"/>
          <w:sz w:val="32"/>
          <w:szCs w:val="32"/>
        </w:rPr>
        <w:t>GDP</w:t>
      </w:r>
      <w:r>
        <w:rPr>
          <w:rFonts w:ascii="Times New Roman" w:eastAsia="仿宋" w:hAnsi="Times New Roman"/>
          <w:sz w:val="32"/>
          <w:szCs w:val="32"/>
        </w:rPr>
        <w:t>比重提高到</w:t>
      </w:r>
      <w:r>
        <w:rPr>
          <w:rFonts w:ascii="Times New Roman" w:eastAsia="仿宋" w:hAnsi="Times New Roman"/>
          <w:sz w:val="32"/>
          <w:szCs w:val="32"/>
        </w:rPr>
        <w:t>40%</w:t>
      </w:r>
      <w:r>
        <w:rPr>
          <w:rFonts w:ascii="Times New Roman" w:eastAsia="仿宋" w:hAnsi="Times New Roman"/>
          <w:sz w:val="32"/>
          <w:szCs w:val="32"/>
        </w:rPr>
        <w:t>以上，工业总量力争进入全区前四位。到</w:t>
      </w:r>
      <w:r>
        <w:rPr>
          <w:rFonts w:ascii="Times New Roman" w:eastAsia="仿宋" w:hAnsi="Times New Roman"/>
          <w:sz w:val="32"/>
          <w:szCs w:val="32"/>
        </w:rPr>
        <w:t>2025</w:t>
      </w:r>
      <w:r>
        <w:rPr>
          <w:rFonts w:ascii="Times New Roman" w:eastAsia="仿宋" w:hAnsi="Times New Roman"/>
          <w:sz w:val="32"/>
          <w:szCs w:val="32"/>
        </w:rPr>
        <w:t>年，海铁联运集装箱运输量达到</w:t>
      </w:r>
      <w:r>
        <w:rPr>
          <w:rFonts w:ascii="Times New Roman" w:eastAsia="仿宋" w:hAnsi="Times New Roman"/>
          <w:sz w:val="32"/>
          <w:szCs w:val="32"/>
        </w:rPr>
        <w:t>100</w:t>
      </w:r>
      <w:r>
        <w:rPr>
          <w:rFonts w:ascii="Times New Roman" w:eastAsia="仿宋" w:hAnsi="Times New Roman"/>
          <w:sz w:val="32"/>
          <w:szCs w:val="32"/>
        </w:rPr>
        <w:t>万标箱，建成港口型国家物流枢纽，港口货物吞吐量突破</w:t>
      </w:r>
      <w:r>
        <w:rPr>
          <w:rFonts w:ascii="Times New Roman" w:eastAsia="仿宋" w:hAnsi="Times New Roman"/>
          <w:sz w:val="32"/>
          <w:szCs w:val="32"/>
        </w:rPr>
        <w:t>2</w:t>
      </w:r>
      <w:r>
        <w:rPr>
          <w:rFonts w:ascii="Times New Roman" w:eastAsia="仿宋" w:hAnsi="Times New Roman"/>
          <w:sz w:val="32"/>
          <w:szCs w:val="32"/>
        </w:rPr>
        <w:t>亿吨，集装箱吞吐量突破</w:t>
      </w:r>
      <w:r>
        <w:rPr>
          <w:rFonts w:ascii="Times New Roman" w:eastAsia="仿宋" w:hAnsi="Times New Roman"/>
          <w:sz w:val="32"/>
          <w:szCs w:val="32"/>
        </w:rPr>
        <w:t>800</w:t>
      </w:r>
      <w:r>
        <w:rPr>
          <w:rFonts w:ascii="Times New Roman" w:eastAsia="仿宋" w:hAnsi="Times New Roman"/>
          <w:sz w:val="32"/>
          <w:szCs w:val="32"/>
        </w:rPr>
        <w:t>万标箱；实现</w:t>
      </w:r>
      <w:r>
        <w:rPr>
          <w:rFonts w:ascii="Times New Roman" w:eastAsia="仿宋" w:hAnsi="Times New Roman"/>
          <w:sz w:val="32"/>
          <w:szCs w:val="32"/>
        </w:rPr>
        <w:t>90%</w:t>
      </w:r>
      <w:r>
        <w:rPr>
          <w:rFonts w:ascii="Times New Roman" w:eastAsia="仿宋" w:hAnsi="Times New Roman"/>
          <w:sz w:val="32"/>
          <w:szCs w:val="32"/>
        </w:rPr>
        <w:t>以上镇通高速公路、</w:t>
      </w:r>
      <w:r>
        <w:rPr>
          <w:rFonts w:ascii="Times New Roman" w:eastAsia="仿宋" w:hAnsi="Times New Roman"/>
          <w:sz w:val="32"/>
          <w:szCs w:val="32"/>
        </w:rPr>
        <w:t>100%</w:t>
      </w:r>
      <w:r>
        <w:rPr>
          <w:rFonts w:ascii="Times New Roman" w:eastAsia="仿宋" w:hAnsi="Times New Roman"/>
          <w:sz w:val="32"/>
          <w:szCs w:val="32"/>
        </w:rPr>
        <w:t>镇通二级公路，钦州至灵山浦北、钦州至南宁发展轴带集聚效应增强，县域至中心城市、县城至重点镇的</w:t>
      </w:r>
      <w:r>
        <w:rPr>
          <w:rFonts w:ascii="Times New Roman" w:eastAsia="仿宋" w:hAnsi="Times New Roman"/>
          <w:sz w:val="32"/>
          <w:szCs w:val="32"/>
        </w:rPr>
        <w:t>1</w:t>
      </w:r>
      <w:r>
        <w:rPr>
          <w:rFonts w:ascii="Times New Roman" w:eastAsia="仿宋" w:hAnsi="Times New Roman"/>
          <w:sz w:val="32"/>
          <w:szCs w:val="32"/>
        </w:rPr>
        <w:t>小时经济圈架构基本成型；临港与县域协作发展、以城带乡机制初步建立。乡村振兴战略全面实施，形成千亿元的乡</w:t>
      </w:r>
      <w:r>
        <w:rPr>
          <w:rFonts w:ascii="Times New Roman" w:eastAsia="仿宋" w:hAnsi="Times New Roman"/>
          <w:sz w:val="32"/>
          <w:szCs w:val="32"/>
        </w:rPr>
        <w:lastRenderedPageBreak/>
        <w:t>村产业，农业农村现代化基础进一步夯实。</w:t>
      </w:r>
      <w:r>
        <w:rPr>
          <w:rFonts w:ascii="Times New Roman" w:eastAsia="仿宋" w:hAnsi="Times New Roman"/>
          <w:sz w:val="32"/>
          <w:szCs w:val="32"/>
        </w:rPr>
        <w:t>”</w:t>
      </w:r>
      <w:r>
        <w:rPr>
          <w:rFonts w:ascii="Times New Roman" w:eastAsia="仿宋" w:hAnsi="Times New Roman"/>
          <w:sz w:val="32"/>
          <w:szCs w:val="32"/>
        </w:rPr>
        <w:t>十四五期间，根据上述工业规模发展目标要求，尤其是港口码头建设、道路基建建设、乡村振兴及平陆运河战略的实施，将为全市散装水泥、预拌混凝土、预拌砂浆行业带来新的发展机遇。</w:t>
      </w:r>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（二）宏观经济下行带来新挑战</w:t>
      </w:r>
    </w:p>
    <w:p w:rsidR="00D74912" w:rsidRDefault="00FE7708">
      <w:pPr>
        <w:ind w:firstLineChars="200" w:firstLine="640"/>
        <w:rPr>
          <w:rFonts w:ascii="Times New Roman" w:eastAsia="仿宋" w:hAnsi="Times New Roman"/>
          <w:sz w:val="32"/>
          <w:szCs w:val="32"/>
        </w:rPr>
      </w:pPr>
      <w:r>
        <w:rPr>
          <w:rFonts w:ascii="Times New Roman" w:eastAsia="仿宋" w:hAnsi="Times New Roman"/>
          <w:sz w:val="32"/>
          <w:szCs w:val="32"/>
        </w:rPr>
        <w:t>当前，国际形势复杂多变，我国经济发展进入新常态，国内经济形势面临下行压力。从钦州市自身条件看，发展不充分不平衡问题矛盾仍非常突出。表现在：经济总量偏小、质量不高的基本市情没有根本改变，人均</w:t>
      </w:r>
      <w:r>
        <w:rPr>
          <w:rFonts w:ascii="Times New Roman" w:eastAsia="仿宋" w:hAnsi="Times New Roman"/>
          <w:sz w:val="32"/>
          <w:szCs w:val="32"/>
        </w:rPr>
        <w:t>GDP</w:t>
      </w:r>
      <w:r>
        <w:rPr>
          <w:rFonts w:ascii="Times New Roman" w:eastAsia="仿宋" w:hAnsi="Times New Roman"/>
          <w:sz w:val="32"/>
          <w:szCs w:val="32"/>
        </w:rPr>
        <w:t>仅相当于全国水平的</w:t>
      </w:r>
      <w:r>
        <w:rPr>
          <w:rFonts w:ascii="Times New Roman" w:eastAsia="仿宋" w:hAnsi="Times New Roman"/>
          <w:sz w:val="32"/>
          <w:szCs w:val="32"/>
        </w:rPr>
        <w:t>60%</w:t>
      </w:r>
      <w:r>
        <w:rPr>
          <w:rFonts w:ascii="Times New Roman" w:eastAsia="仿宋" w:hAnsi="Times New Roman"/>
          <w:sz w:val="32"/>
          <w:szCs w:val="32"/>
        </w:rPr>
        <w:t>，总体上处于工业化初期到中期阶段；</w:t>
      </w:r>
      <w:r>
        <w:rPr>
          <w:rFonts w:ascii="Times New Roman" w:eastAsia="仿宋" w:hAnsi="Times New Roman" w:hint="eastAsia"/>
          <w:sz w:val="32"/>
          <w:szCs w:val="32"/>
        </w:rPr>
        <w:t>产业基础不够雄厚、工业支撑力偏弱、县域工业发展水平相对落后、产业园区集聚效应不明显</w:t>
      </w:r>
      <w:r>
        <w:rPr>
          <w:rFonts w:ascii="Times New Roman" w:eastAsia="仿宋" w:hAnsi="Times New Roman"/>
          <w:sz w:val="32"/>
          <w:szCs w:val="32"/>
        </w:rPr>
        <w:t>产业发展基础相对薄弱的局面没有根本改变，规模以上企业数量少，工业增加值占地区生产总值比重下降，产业链未打通，产业集群未形成，新兴产业比重低等。面对宏观经济下行压力持续加大的形势，如何科学谋划崭新未来，抓住和创造新的机遇，解决发展难题，焕发钦州市发展新的生机，全力以赴推动高质量发展是</w:t>
      </w:r>
      <w:r>
        <w:rPr>
          <w:rFonts w:ascii="Times New Roman" w:eastAsia="仿宋" w:hAnsi="Times New Roman"/>
          <w:sz w:val="32"/>
          <w:szCs w:val="32"/>
        </w:rPr>
        <w:t>“</w:t>
      </w:r>
      <w:r>
        <w:rPr>
          <w:rFonts w:ascii="Times New Roman" w:eastAsia="仿宋" w:hAnsi="Times New Roman"/>
          <w:sz w:val="32"/>
          <w:szCs w:val="32"/>
        </w:rPr>
        <w:t>十四五</w:t>
      </w:r>
      <w:r>
        <w:rPr>
          <w:rFonts w:ascii="Times New Roman" w:eastAsia="仿宋" w:hAnsi="Times New Roman"/>
          <w:sz w:val="32"/>
          <w:szCs w:val="32"/>
        </w:rPr>
        <w:t>”</w:t>
      </w:r>
      <w:r>
        <w:rPr>
          <w:rFonts w:ascii="Times New Roman" w:eastAsia="仿宋" w:hAnsi="Times New Roman"/>
          <w:sz w:val="32"/>
          <w:szCs w:val="32"/>
        </w:rPr>
        <w:t>面临的挑战。散装水泥行业发展要适应正加快转变的经济发展方式，促进产业结构转型升级，加快推进节能减排和保护生态环境，积极培育并发展行业新的增长点，才能实现行业高质量可持续发展。</w:t>
      </w:r>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（三）建材行业转型升级提出高要求</w:t>
      </w:r>
    </w:p>
    <w:p w:rsidR="00D74912" w:rsidRDefault="00FE7708">
      <w:pPr>
        <w:ind w:firstLineChars="200" w:firstLine="640"/>
        <w:rPr>
          <w:rFonts w:ascii="Times New Roman" w:eastAsia="方正仿宋_GB2312" w:hAnsi="Times New Roman"/>
          <w:sz w:val="32"/>
          <w:szCs w:val="32"/>
        </w:rPr>
      </w:pPr>
      <w:r>
        <w:rPr>
          <w:rFonts w:ascii="Times New Roman" w:eastAsia="方正仿宋_GB2312" w:hAnsi="Times New Roman"/>
          <w:sz w:val="32"/>
          <w:szCs w:val="32"/>
        </w:rPr>
        <w:lastRenderedPageBreak/>
        <w:t>加强生态文明建设，坚持绿色发展，使资源、生产、消费等要素相匹配相适应，是构建高质量现代化经济体系的必然要求，近年来，全社会生态、绿色、循环、低碳、环保理念更加深入人心，绿色建材和装配式建筑进入快速发展时期；一方面，部分适应生产消费升级需要的产品缺乏，一些长期积累的结构性矛盾日益凸显，倒逼建材工业加快转型升级，对散装水泥行业在产品性能、功能、质量及技术上提出新的要求；另一方面，生态文明建设和绿色发展要求给散装水泥发展带来新的市场商机，也对散装水泥行业生产与流通过程的清洁、环保和资源的综合利用等提出了更高要求。</w:t>
      </w:r>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（四）双碳双控对行业绿色发展提出紧迫要求。</w:t>
      </w:r>
    </w:p>
    <w:p w:rsidR="00D74912" w:rsidRDefault="00FE7708">
      <w:pPr>
        <w:ind w:firstLineChars="200" w:firstLine="640"/>
        <w:rPr>
          <w:rFonts w:ascii="Times New Roman" w:eastAsia="仿宋" w:hAnsi="Times New Roman"/>
          <w:sz w:val="32"/>
          <w:szCs w:val="32"/>
        </w:rPr>
      </w:pPr>
      <w:r>
        <w:rPr>
          <w:rFonts w:ascii="Times New Roman" w:eastAsia="仿宋" w:hAnsi="Times New Roman"/>
          <w:sz w:val="32"/>
          <w:szCs w:val="32"/>
        </w:rPr>
        <w:t>在我国承诺二氧化碳排放力争</w:t>
      </w:r>
      <w:r>
        <w:rPr>
          <w:rFonts w:ascii="Times New Roman" w:eastAsia="仿宋" w:hAnsi="Times New Roman"/>
          <w:sz w:val="32"/>
          <w:szCs w:val="32"/>
        </w:rPr>
        <w:t>2030</w:t>
      </w:r>
      <w:r>
        <w:rPr>
          <w:rFonts w:ascii="Times New Roman" w:eastAsia="仿宋" w:hAnsi="Times New Roman"/>
          <w:sz w:val="32"/>
          <w:szCs w:val="32"/>
        </w:rPr>
        <w:t>年前实现碳达峰、</w:t>
      </w:r>
      <w:r>
        <w:rPr>
          <w:rFonts w:ascii="Times New Roman" w:eastAsia="仿宋" w:hAnsi="Times New Roman"/>
          <w:sz w:val="32"/>
          <w:szCs w:val="32"/>
        </w:rPr>
        <w:t>2060</w:t>
      </w:r>
      <w:r>
        <w:rPr>
          <w:rFonts w:ascii="Times New Roman" w:eastAsia="仿宋" w:hAnsi="Times New Roman"/>
          <w:sz w:val="32"/>
          <w:szCs w:val="32"/>
        </w:rPr>
        <w:t>年前实现碳中和的大背景下，工业发展面临的资源环境约束日益增强，传统产业转型升级压力较大。随着双碳战略的落地，双控政策成为节能减排的重要抓手，政策效力日益强化，未来中国经济结构和经济社会运转方式将产生深刻变革。作为典型的资源能源承载型行业，建材行业的能源消耗总量和碳排放总量位居各工业行业前列。双碳双控将促进绿色生产方式和生活方式的形成，也将倒逼散装水泥、预拌混凝土、预拌砂浆行业向绿色低碳发展方式转变。</w:t>
      </w:r>
    </w:p>
    <w:p w:rsidR="00D74912" w:rsidRDefault="00FE7708">
      <w:pPr>
        <w:ind w:firstLineChars="100" w:firstLine="321"/>
        <w:outlineLvl w:val="2"/>
        <w:rPr>
          <w:rFonts w:ascii="Times New Roman" w:eastAsia="楷体" w:hAnsi="Times New Roman"/>
          <w:b/>
          <w:sz w:val="32"/>
          <w:szCs w:val="32"/>
        </w:rPr>
      </w:pPr>
      <w:bookmarkStart w:id="38" w:name="_Toc21843"/>
      <w:r>
        <w:rPr>
          <w:rFonts w:ascii="Times New Roman" w:eastAsia="楷体" w:hAnsi="Times New Roman"/>
          <w:b/>
          <w:sz w:val="32"/>
          <w:szCs w:val="32"/>
        </w:rPr>
        <w:t>（五）信息技术与传统产业深入融合成为新趋势</w:t>
      </w:r>
      <w:bookmarkEnd w:id="38"/>
    </w:p>
    <w:p w:rsidR="00D74912" w:rsidRDefault="00FE7708">
      <w:pPr>
        <w:ind w:firstLineChars="200" w:firstLine="640"/>
        <w:rPr>
          <w:rFonts w:ascii="Times New Roman" w:eastAsia="仿宋" w:hAnsi="Times New Roman"/>
          <w:sz w:val="32"/>
          <w:szCs w:val="32"/>
        </w:rPr>
      </w:pPr>
      <w:r>
        <w:rPr>
          <w:rFonts w:ascii="Times New Roman" w:eastAsia="仿宋" w:hAnsi="Times New Roman"/>
          <w:sz w:val="32"/>
          <w:szCs w:val="32"/>
        </w:rPr>
        <w:t>随着以大数据、人工智能为代表的新一代信息通信技术</w:t>
      </w:r>
      <w:r>
        <w:rPr>
          <w:rFonts w:ascii="Times New Roman" w:eastAsia="仿宋" w:hAnsi="Times New Roman"/>
          <w:sz w:val="32"/>
          <w:szCs w:val="32"/>
        </w:rPr>
        <w:lastRenderedPageBreak/>
        <w:t>与传统行业加速融合，以及</w:t>
      </w:r>
      <w:r>
        <w:rPr>
          <w:rFonts w:ascii="Times New Roman" w:eastAsia="仿宋" w:hAnsi="Times New Roman"/>
          <w:sz w:val="32"/>
          <w:szCs w:val="32"/>
        </w:rPr>
        <w:t>5G</w:t>
      </w:r>
      <w:r>
        <w:rPr>
          <w:rFonts w:ascii="Times New Roman" w:eastAsia="仿宋" w:hAnsi="Times New Roman"/>
          <w:sz w:val="32"/>
          <w:szCs w:val="32"/>
        </w:rPr>
        <w:t>、物联网等蓬勃发展，新一代信息通信技术在传统制造业转型升级中发挥着重大的作用。</w:t>
      </w:r>
      <w:r>
        <w:rPr>
          <w:rFonts w:ascii="Times New Roman" w:eastAsia="仿宋" w:hAnsi="Times New Roman"/>
          <w:sz w:val="32"/>
          <w:szCs w:val="32"/>
        </w:rPr>
        <w:t>2020</w:t>
      </w:r>
      <w:r>
        <w:rPr>
          <w:rFonts w:ascii="Times New Roman" w:eastAsia="仿宋" w:hAnsi="Times New Roman"/>
          <w:sz w:val="32"/>
          <w:szCs w:val="32"/>
        </w:rPr>
        <w:t>年</w:t>
      </w:r>
      <w:r>
        <w:rPr>
          <w:rFonts w:ascii="Times New Roman" w:eastAsia="仿宋" w:hAnsi="Times New Roman"/>
          <w:sz w:val="32"/>
          <w:szCs w:val="32"/>
        </w:rPr>
        <w:t>9</w:t>
      </w:r>
      <w:r>
        <w:rPr>
          <w:rFonts w:ascii="Times New Roman" w:eastAsia="仿宋" w:hAnsi="Times New Roman"/>
          <w:sz w:val="32"/>
          <w:szCs w:val="32"/>
        </w:rPr>
        <w:t>月工业和信息化部印发《建材工业智能制造数字转型行动计划（</w:t>
      </w:r>
      <w:r>
        <w:rPr>
          <w:rFonts w:ascii="Times New Roman" w:eastAsia="仿宋" w:hAnsi="Times New Roman"/>
          <w:sz w:val="32"/>
          <w:szCs w:val="32"/>
        </w:rPr>
        <w:t>2021-2023</w:t>
      </w:r>
      <w:r>
        <w:rPr>
          <w:rFonts w:ascii="Times New Roman" w:eastAsia="仿宋" w:hAnsi="Times New Roman"/>
          <w:sz w:val="32"/>
          <w:szCs w:val="32"/>
        </w:rPr>
        <w:t>年）》，对进一步推动工业大数据、</w:t>
      </w:r>
      <w:r>
        <w:rPr>
          <w:rFonts w:ascii="Times New Roman" w:eastAsia="仿宋" w:hAnsi="Times New Roman"/>
          <w:sz w:val="32"/>
          <w:szCs w:val="32"/>
        </w:rPr>
        <w:t>“</w:t>
      </w:r>
      <w:r>
        <w:rPr>
          <w:rFonts w:ascii="Times New Roman" w:eastAsia="仿宋" w:hAnsi="Times New Roman"/>
          <w:sz w:val="32"/>
          <w:szCs w:val="32"/>
        </w:rPr>
        <w:t>互联网</w:t>
      </w:r>
      <w:r>
        <w:rPr>
          <w:rFonts w:ascii="Times New Roman" w:eastAsia="仿宋" w:hAnsi="Times New Roman"/>
          <w:sz w:val="32"/>
          <w:szCs w:val="32"/>
        </w:rPr>
        <w:t>+”</w:t>
      </w:r>
      <w:r>
        <w:rPr>
          <w:rFonts w:ascii="Times New Roman" w:eastAsia="仿宋" w:hAnsi="Times New Roman"/>
          <w:sz w:val="32"/>
          <w:szCs w:val="32"/>
        </w:rPr>
        <w:t>行动与散装水泥行业的融合创新，</w:t>
      </w:r>
      <w:r>
        <w:rPr>
          <w:rFonts w:ascii="Times New Roman" w:eastAsia="仿宋" w:hAnsi="Times New Roman" w:hint="eastAsia"/>
          <w:sz w:val="32"/>
          <w:szCs w:val="32"/>
        </w:rPr>
        <w:t>对</w:t>
      </w:r>
      <w:r>
        <w:rPr>
          <w:rFonts w:ascii="Times New Roman" w:eastAsia="仿宋" w:hAnsi="Times New Roman"/>
          <w:sz w:val="32"/>
          <w:szCs w:val="32"/>
        </w:rPr>
        <w:t>推动散装水泥行业结构调整提出新要求，将有效促进行业技术进步和创新发展、转型升级。</w:t>
      </w:r>
    </w:p>
    <w:p w:rsidR="00D74912" w:rsidRDefault="00D74912">
      <w:pPr>
        <w:pStyle w:val="2"/>
        <w:rPr>
          <w:rFonts w:ascii="Times New Roman" w:hAnsi="Times New Roman"/>
        </w:rPr>
      </w:pP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32"/>
        </w:rPr>
      </w:pPr>
      <w:bookmarkStart w:id="39" w:name="_Toc29870"/>
      <w:bookmarkStart w:id="40" w:name="_Toc7915"/>
      <w:bookmarkStart w:id="41" w:name="_Toc18083"/>
      <w:r>
        <w:rPr>
          <w:rFonts w:ascii="Times New Roman" w:eastAsia="黑体" w:hAnsi="Times New Roman"/>
          <w:bCs/>
          <w:sz w:val="32"/>
          <w:szCs w:val="32"/>
        </w:rPr>
        <w:t>三、市场需求分析</w:t>
      </w:r>
      <w:bookmarkEnd w:id="39"/>
      <w:bookmarkEnd w:id="40"/>
      <w:bookmarkEnd w:id="41"/>
    </w:p>
    <w:p w:rsidR="00D74912" w:rsidRDefault="00FE7708">
      <w:pPr>
        <w:ind w:firstLineChars="200" w:firstLine="640"/>
        <w:rPr>
          <w:rFonts w:ascii="Times New Roman" w:eastAsia="仿宋" w:hAnsi="Times New Roman"/>
          <w:sz w:val="32"/>
          <w:szCs w:val="32"/>
        </w:rPr>
      </w:pPr>
      <w:r>
        <w:rPr>
          <w:rFonts w:ascii="Times New Roman" w:eastAsia="仿宋" w:hAnsi="Times New Roman"/>
          <w:sz w:val="32"/>
          <w:szCs w:val="32"/>
        </w:rPr>
        <w:t>预拌混凝土、预拌砂浆市场需求与全社会固定资产投资及房地产投资关系密切。结合近几年来钦州市全社会固定资产投资，房地产投资、房屋施工面积、土地出让情况等现状和趋势分析，预测未来五年内全市预拌混凝土和预拌砂浆需求量，预测结果如表</w:t>
      </w:r>
      <w:r>
        <w:rPr>
          <w:rFonts w:ascii="Times New Roman" w:eastAsia="仿宋" w:hAnsi="Times New Roman" w:hint="eastAsia"/>
          <w:sz w:val="32"/>
          <w:szCs w:val="32"/>
        </w:rPr>
        <w:t>2</w:t>
      </w:r>
      <w:r>
        <w:rPr>
          <w:rFonts w:ascii="Times New Roman" w:eastAsia="仿宋" w:hAnsi="Times New Roman"/>
          <w:sz w:val="32"/>
          <w:szCs w:val="32"/>
        </w:rPr>
        <w:t>-1</w:t>
      </w:r>
      <w:r>
        <w:rPr>
          <w:rFonts w:ascii="Times New Roman" w:eastAsia="仿宋" w:hAnsi="Times New Roman" w:hint="eastAsia"/>
          <w:sz w:val="32"/>
          <w:szCs w:val="32"/>
        </w:rPr>
        <w:t>、</w:t>
      </w:r>
      <w:r>
        <w:rPr>
          <w:rFonts w:ascii="Times New Roman" w:eastAsia="仿宋" w:hAnsi="Times New Roman"/>
          <w:sz w:val="32"/>
          <w:szCs w:val="32"/>
        </w:rPr>
        <w:t>表</w:t>
      </w:r>
      <w:r>
        <w:rPr>
          <w:rFonts w:ascii="Times New Roman" w:eastAsia="仿宋" w:hAnsi="Times New Roman" w:hint="eastAsia"/>
          <w:sz w:val="32"/>
          <w:szCs w:val="32"/>
        </w:rPr>
        <w:t>2</w:t>
      </w:r>
      <w:r>
        <w:rPr>
          <w:rFonts w:ascii="Times New Roman" w:eastAsia="仿宋" w:hAnsi="Times New Roman"/>
          <w:sz w:val="32"/>
          <w:szCs w:val="32"/>
        </w:rPr>
        <w:t>-2</w:t>
      </w:r>
      <w:r>
        <w:rPr>
          <w:rFonts w:ascii="Times New Roman" w:eastAsia="仿宋" w:hAnsi="Times New Roman"/>
          <w:sz w:val="32"/>
          <w:szCs w:val="32"/>
        </w:rPr>
        <w:t>所示。</w:t>
      </w:r>
    </w:p>
    <w:p w:rsidR="00D74912" w:rsidRDefault="00D74912">
      <w:pPr>
        <w:adjustRightInd w:val="0"/>
        <w:snapToGrid w:val="0"/>
        <w:jc w:val="center"/>
        <w:rPr>
          <w:rFonts w:ascii="Times New Roman" w:eastAsia="仿宋" w:hAnsi="Times New Roman"/>
          <w:color w:val="000000" w:themeColor="text1"/>
          <w:sz w:val="24"/>
          <w:szCs w:val="24"/>
        </w:rPr>
      </w:pP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表</w:t>
      </w:r>
      <w:r>
        <w:rPr>
          <w:rFonts w:ascii="Times New Roman" w:eastAsia="仿宋" w:hAnsi="Times New Roman"/>
          <w:b/>
          <w:bCs/>
          <w:color w:val="000000" w:themeColor="text1"/>
          <w:sz w:val="24"/>
          <w:szCs w:val="24"/>
        </w:rPr>
        <w:t>2-1</w:t>
      </w:r>
      <w:r>
        <w:rPr>
          <w:rFonts w:ascii="Times New Roman" w:eastAsia="仿宋" w:hAnsi="Times New Roman"/>
          <w:b/>
          <w:bCs/>
          <w:color w:val="000000" w:themeColor="text1"/>
          <w:sz w:val="24"/>
          <w:szCs w:val="24"/>
        </w:rPr>
        <w:t>规划期内钦州市预拌混凝土、预拌砂浆需求预测情况</w:t>
      </w:r>
    </w:p>
    <w:tbl>
      <w:tblPr>
        <w:tblStyle w:val="a7"/>
        <w:tblW w:w="8520" w:type="dxa"/>
        <w:tblLayout w:type="fixed"/>
        <w:tblLook w:val="04A0"/>
      </w:tblPr>
      <w:tblGrid>
        <w:gridCol w:w="4268"/>
        <w:gridCol w:w="4252"/>
      </w:tblGrid>
      <w:tr w:rsidR="00D74912">
        <w:trPr>
          <w:trHeight w:val="513"/>
        </w:trPr>
        <w:tc>
          <w:tcPr>
            <w:tcW w:w="4268"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产品</w:t>
            </w:r>
          </w:p>
        </w:tc>
        <w:tc>
          <w:tcPr>
            <w:tcW w:w="4252"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2025</w:t>
            </w:r>
            <w:r>
              <w:rPr>
                <w:rFonts w:ascii="Times New Roman" w:eastAsia="仿宋" w:hAnsi="Times New Roman"/>
                <w:b/>
                <w:bCs/>
                <w:color w:val="000000" w:themeColor="text1"/>
                <w:sz w:val="24"/>
                <w:szCs w:val="24"/>
              </w:rPr>
              <w:t>年（预测值）</w:t>
            </w:r>
          </w:p>
        </w:tc>
      </w:tr>
      <w:tr w:rsidR="00D74912">
        <w:trPr>
          <w:trHeight w:val="513"/>
        </w:trPr>
        <w:tc>
          <w:tcPr>
            <w:tcW w:w="4268"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预拌混凝土（万立方米</w:t>
            </w:r>
            <w:r>
              <w:rPr>
                <w:rFonts w:ascii="Times New Roman" w:eastAsia="仿宋" w:hAnsi="Times New Roman"/>
                <w:sz w:val="24"/>
                <w:szCs w:val="24"/>
              </w:rPr>
              <w:t>/</w:t>
            </w:r>
            <w:r>
              <w:rPr>
                <w:rFonts w:ascii="Times New Roman" w:eastAsia="仿宋" w:hAnsi="Times New Roman"/>
                <w:sz w:val="24"/>
                <w:szCs w:val="24"/>
              </w:rPr>
              <w:t>年）</w:t>
            </w:r>
          </w:p>
        </w:tc>
        <w:tc>
          <w:tcPr>
            <w:tcW w:w="4252"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890-970</w:t>
            </w:r>
          </w:p>
        </w:tc>
      </w:tr>
      <w:tr w:rsidR="00D74912">
        <w:trPr>
          <w:trHeight w:val="540"/>
        </w:trPr>
        <w:tc>
          <w:tcPr>
            <w:tcW w:w="4268"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预拌砂浆（</w:t>
            </w:r>
            <w:r>
              <w:rPr>
                <w:rFonts w:ascii="Times New Roman" w:eastAsia="仿宋" w:hAnsi="Times New Roman"/>
                <w:sz w:val="24"/>
                <w:szCs w:val="24"/>
              </w:rPr>
              <w:t>t</w:t>
            </w:r>
            <w:r>
              <w:rPr>
                <w:rFonts w:ascii="Times New Roman" w:eastAsia="仿宋" w:hAnsi="Times New Roman"/>
                <w:sz w:val="24"/>
                <w:szCs w:val="24"/>
              </w:rPr>
              <w:t>）（使用量</w:t>
            </w:r>
            <w:r>
              <w:rPr>
                <w:rFonts w:ascii="Times New Roman" w:eastAsia="仿宋" w:hAnsi="Times New Roman"/>
                <w:sz w:val="24"/>
                <w:szCs w:val="24"/>
              </w:rPr>
              <w:t>70%</w:t>
            </w:r>
            <w:r>
              <w:rPr>
                <w:rFonts w:ascii="Times New Roman" w:eastAsia="仿宋" w:hAnsi="Times New Roman"/>
                <w:sz w:val="24"/>
                <w:szCs w:val="24"/>
              </w:rPr>
              <w:t>计）</w:t>
            </w:r>
          </w:p>
        </w:tc>
        <w:tc>
          <w:tcPr>
            <w:tcW w:w="4252"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160-180</w:t>
            </w:r>
          </w:p>
        </w:tc>
      </w:tr>
    </w:tbl>
    <w:p w:rsidR="00D74912" w:rsidRDefault="00D74912">
      <w:pPr>
        <w:adjustRightInd w:val="0"/>
        <w:snapToGrid w:val="0"/>
        <w:jc w:val="center"/>
        <w:rPr>
          <w:rFonts w:ascii="Times New Roman" w:eastAsia="仿宋" w:hAnsi="Times New Roman"/>
          <w:sz w:val="24"/>
          <w:szCs w:val="24"/>
        </w:rPr>
      </w:pPr>
    </w:p>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表</w:t>
      </w:r>
      <w:r>
        <w:rPr>
          <w:rFonts w:ascii="Times New Roman" w:eastAsia="仿宋" w:hAnsi="Times New Roman"/>
          <w:b/>
          <w:bCs/>
          <w:sz w:val="24"/>
          <w:szCs w:val="24"/>
        </w:rPr>
        <w:t>2-2</w:t>
      </w:r>
      <w:r>
        <w:rPr>
          <w:rFonts w:ascii="Times New Roman" w:eastAsia="仿宋" w:hAnsi="Times New Roman"/>
          <w:b/>
          <w:bCs/>
          <w:sz w:val="24"/>
          <w:szCs w:val="24"/>
        </w:rPr>
        <w:t>规划期内各县（区）预拌混凝土预测需求情况</w:t>
      </w:r>
    </w:p>
    <w:tbl>
      <w:tblPr>
        <w:tblStyle w:val="a7"/>
        <w:tblW w:w="8611" w:type="dxa"/>
        <w:jc w:val="center"/>
        <w:tblLayout w:type="fixed"/>
        <w:tblLook w:val="04A0"/>
      </w:tblPr>
      <w:tblGrid>
        <w:gridCol w:w="4377"/>
        <w:gridCol w:w="4234"/>
      </w:tblGrid>
      <w:tr w:rsidR="00D74912">
        <w:trPr>
          <w:trHeight w:val="515"/>
          <w:jc w:val="center"/>
        </w:trPr>
        <w:tc>
          <w:tcPr>
            <w:tcW w:w="4377"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县（区）</w:t>
            </w:r>
          </w:p>
        </w:tc>
        <w:tc>
          <w:tcPr>
            <w:tcW w:w="4234" w:type="dxa"/>
            <w:vAlign w:val="center"/>
          </w:tcPr>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2025</w:t>
            </w:r>
            <w:r>
              <w:rPr>
                <w:rFonts w:ascii="Times New Roman" w:eastAsia="仿宋" w:hAnsi="Times New Roman"/>
                <w:b/>
                <w:bCs/>
                <w:sz w:val="24"/>
                <w:szCs w:val="24"/>
              </w:rPr>
              <w:t>年（万立方米</w:t>
            </w:r>
            <w:r>
              <w:rPr>
                <w:rFonts w:ascii="Times New Roman" w:eastAsia="仿宋" w:hAnsi="Times New Roman"/>
                <w:b/>
                <w:bCs/>
                <w:sz w:val="24"/>
                <w:szCs w:val="24"/>
              </w:rPr>
              <w:t>/</w:t>
            </w:r>
            <w:r>
              <w:rPr>
                <w:rFonts w:ascii="Times New Roman" w:eastAsia="仿宋" w:hAnsi="Times New Roman"/>
                <w:b/>
                <w:bCs/>
                <w:sz w:val="24"/>
                <w:szCs w:val="24"/>
              </w:rPr>
              <w:t>年）</w:t>
            </w:r>
          </w:p>
        </w:tc>
      </w:tr>
      <w:tr w:rsidR="00D74912">
        <w:trPr>
          <w:trHeight w:val="516"/>
          <w:jc w:val="center"/>
        </w:trPr>
        <w:tc>
          <w:tcPr>
            <w:tcW w:w="4377"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钦南区</w:t>
            </w:r>
          </w:p>
        </w:tc>
        <w:tc>
          <w:tcPr>
            <w:tcW w:w="4234" w:type="dxa"/>
            <w:vAlign w:val="center"/>
          </w:tcPr>
          <w:p w:rsidR="00D74912" w:rsidRDefault="00FE7708">
            <w:pPr>
              <w:jc w:val="center"/>
              <w:rPr>
                <w:rFonts w:ascii="Times New Roman" w:eastAsia="仿宋" w:hAnsi="Times New Roman"/>
                <w:sz w:val="24"/>
                <w:szCs w:val="24"/>
              </w:rPr>
            </w:pPr>
            <w:r>
              <w:rPr>
                <w:rFonts w:ascii="Times New Roman" w:eastAsia="仿宋" w:hAnsi="Times New Roman"/>
                <w:sz w:val="24"/>
                <w:szCs w:val="24"/>
              </w:rPr>
              <w:t>540-560</w:t>
            </w:r>
          </w:p>
        </w:tc>
      </w:tr>
      <w:tr w:rsidR="00D74912">
        <w:trPr>
          <w:trHeight w:val="516"/>
          <w:jc w:val="center"/>
        </w:trPr>
        <w:tc>
          <w:tcPr>
            <w:tcW w:w="4377"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钦北区</w:t>
            </w:r>
          </w:p>
        </w:tc>
        <w:tc>
          <w:tcPr>
            <w:tcW w:w="4234" w:type="dxa"/>
            <w:vAlign w:val="center"/>
          </w:tcPr>
          <w:p w:rsidR="00D74912" w:rsidRDefault="00FE7708">
            <w:pPr>
              <w:jc w:val="center"/>
              <w:rPr>
                <w:rFonts w:ascii="Times New Roman" w:eastAsia="仿宋" w:hAnsi="Times New Roman"/>
                <w:sz w:val="24"/>
                <w:szCs w:val="24"/>
              </w:rPr>
            </w:pPr>
            <w:r>
              <w:rPr>
                <w:rFonts w:ascii="Times New Roman" w:eastAsia="仿宋" w:hAnsi="Times New Roman"/>
                <w:sz w:val="24"/>
                <w:szCs w:val="24"/>
              </w:rPr>
              <w:t>180-200</w:t>
            </w:r>
          </w:p>
        </w:tc>
      </w:tr>
      <w:tr w:rsidR="00D74912">
        <w:trPr>
          <w:trHeight w:val="516"/>
          <w:jc w:val="center"/>
        </w:trPr>
        <w:tc>
          <w:tcPr>
            <w:tcW w:w="4377"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t>浦北县</w:t>
            </w:r>
          </w:p>
        </w:tc>
        <w:tc>
          <w:tcPr>
            <w:tcW w:w="4234" w:type="dxa"/>
            <w:vAlign w:val="center"/>
          </w:tcPr>
          <w:p w:rsidR="00D74912" w:rsidRDefault="00FE7708">
            <w:pPr>
              <w:jc w:val="center"/>
              <w:rPr>
                <w:rFonts w:ascii="Times New Roman" w:eastAsia="仿宋" w:hAnsi="Times New Roman"/>
                <w:sz w:val="24"/>
                <w:szCs w:val="24"/>
              </w:rPr>
            </w:pPr>
            <w:r>
              <w:rPr>
                <w:rFonts w:ascii="Times New Roman" w:eastAsia="仿宋" w:hAnsi="Times New Roman"/>
                <w:sz w:val="24"/>
                <w:szCs w:val="24"/>
              </w:rPr>
              <w:t>110-130</w:t>
            </w:r>
          </w:p>
        </w:tc>
      </w:tr>
      <w:tr w:rsidR="00D74912">
        <w:trPr>
          <w:trHeight w:val="543"/>
          <w:jc w:val="center"/>
        </w:trPr>
        <w:tc>
          <w:tcPr>
            <w:tcW w:w="4377" w:type="dxa"/>
            <w:vAlign w:val="center"/>
          </w:tcPr>
          <w:p w:rsidR="00D74912" w:rsidRDefault="00FE7708">
            <w:pPr>
              <w:adjustRightInd w:val="0"/>
              <w:snapToGrid w:val="0"/>
              <w:jc w:val="center"/>
              <w:rPr>
                <w:rFonts w:ascii="Times New Roman" w:eastAsia="仿宋" w:hAnsi="Times New Roman"/>
                <w:sz w:val="24"/>
                <w:szCs w:val="24"/>
              </w:rPr>
            </w:pPr>
            <w:r>
              <w:rPr>
                <w:rFonts w:ascii="Times New Roman" w:eastAsia="仿宋" w:hAnsi="Times New Roman"/>
                <w:sz w:val="24"/>
                <w:szCs w:val="24"/>
              </w:rPr>
              <w:lastRenderedPageBreak/>
              <w:t>灵山县</w:t>
            </w:r>
          </w:p>
        </w:tc>
        <w:tc>
          <w:tcPr>
            <w:tcW w:w="4234" w:type="dxa"/>
            <w:vAlign w:val="center"/>
          </w:tcPr>
          <w:p w:rsidR="00D74912" w:rsidRDefault="00FE7708">
            <w:pPr>
              <w:jc w:val="center"/>
              <w:rPr>
                <w:rFonts w:ascii="Times New Roman" w:eastAsia="仿宋" w:hAnsi="Times New Roman"/>
                <w:sz w:val="24"/>
                <w:szCs w:val="24"/>
              </w:rPr>
            </w:pPr>
            <w:r>
              <w:rPr>
                <w:rFonts w:ascii="Times New Roman" w:eastAsia="仿宋" w:hAnsi="Times New Roman"/>
                <w:sz w:val="24"/>
                <w:szCs w:val="24"/>
              </w:rPr>
              <w:t>60-80</w:t>
            </w:r>
          </w:p>
        </w:tc>
      </w:tr>
    </w:tbl>
    <w:p w:rsidR="00D74912" w:rsidRDefault="00D74912">
      <w:pPr>
        <w:pStyle w:val="2"/>
        <w:rPr>
          <w:rFonts w:ascii="Times New Roman" w:hAnsi="Times New Roman"/>
        </w:rPr>
      </w:pPr>
    </w:p>
    <w:p w:rsidR="00D74912" w:rsidRDefault="00FE7708">
      <w:pPr>
        <w:rPr>
          <w:rFonts w:ascii="Times New Roman" w:hAnsi="Times New Roman"/>
        </w:rPr>
        <w:sectPr w:rsidR="00D74912">
          <w:pgSz w:w="11906" w:h="16838"/>
          <w:pgMar w:top="1440" w:right="1800" w:bottom="1440" w:left="1800" w:header="851" w:footer="992" w:gutter="0"/>
          <w:cols w:space="425"/>
          <w:docGrid w:type="lines" w:linePitch="312"/>
        </w:sectPr>
      </w:pPr>
      <w:r>
        <w:rPr>
          <w:rFonts w:ascii="Times New Roman" w:hAnsi="Times New Roman" w:hint="eastAsia"/>
        </w:rPr>
        <w:t>（建议增加对预测值的分析判断的理由）</w:t>
      </w:r>
    </w:p>
    <w:p w:rsidR="00D74912" w:rsidRDefault="00FE7708">
      <w:pPr>
        <w:pStyle w:val="2"/>
        <w:ind w:left="0"/>
        <w:jc w:val="center"/>
        <w:outlineLvl w:val="0"/>
        <w:rPr>
          <w:rFonts w:ascii="Times New Roman" w:eastAsia="黑体" w:hAnsi="Times New Roman"/>
          <w:kern w:val="0"/>
          <w:sz w:val="36"/>
          <w:szCs w:val="36"/>
        </w:rPr>
      </w:pPr>
      <w:bookmarkStart w:id="42" w:name="_Toc8106"/>
      <w:bookmarkStart w:id="43" w:name="_Toc6943"/>
      <w:bookmarkStart w:id="44" w:name="_Toc30340"/>
      <w:bookmarkStart w:id="45" w:name="_Toc89203777"/>
      <w:bookmarkStart w:id="46" w:name="_Toc21441"/>
      <w:bookmarkStart w:id="47" w:name="_Toc26126"/>
      <w:bookmarkStart w:id="48" w:name="_Toc11126"/>
      <w:bookmarkStart w:id="49" w:name="_Toc23242"/>
      <w:bookmarkStart w:id="50" w:name="_Toc27456"/>
      <w:bookmarkStart w:id="51" w:name="_Toc29618"/>
      <w:bookmarkStart w:id="52" w:name="_Toc22705"/>
      <w:bookmarkStart w:id="53" w:name="_Toc15405"/>
      <w:bookmarkStart w:id="54" w:name="_Toc13624"/>
      <w:bookmarkStart w:id="55" w:name="_Toc16025"/>
      <w:bookmarkEnd w:id="0"/>
      <w:r>
        <w:rPr>
          <w:rFonts w:ascii="Times New Roman" w:eastAsia="黑体" w:hAnsi="Times New Roman"/>
          <w:kern w:val="0"/>
          <w:sz w:val="36"/>
          <w:szCs w:val="36"/>
        </w:rPr>
        <w:lastRenderedPageBreak/>
        <w:t>第三章</w:t>
      </w:r>
      <w:r>
        <w:rPr>
          <w:rFonts w:ascii="Times New Roman" w:eastAsia="黑体" w:hAnsi="Times New Roman"/>
          <w:kern w:val="0"/>
          <w:sz w:val="36"/>
          <w:szCs w:val="36"/>
        </w:rPr>
        <w:t xml:space="preserve"> </w:t>
      </w:r>
      <w:r>
        <w:rPr>
          <w:rFonts w:ascii="Times New Roman" w:eastAsia="黑体" w:hAnsi="Times New Roman"/>
          <w:kern w:val="0"/>
          <w:sz w:val="36"/>
          <w:szCs w:val="36"/>
        </w:rPr>
        <w:t>总体要求</w:t>
      </w:r>
      <w:bookmarkEnd w:id="42"/>
      <w:bookmarkEnd w:id="43"/>
      <w:bookmarkEnd w:id="44"/>
      <w:bookmarkEnd w:id="45"/>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56" w:name="_Toc27810"/>
      <w:bookmarkStart w:id="57" w:name="_Toc1100"/>
      <w:bookmarkStart w:id="58" w:name="_Toc24011"/>
      <w:bookmarkStart w:id="59" w:name="_Toc89203778"/>
      <w:r>
        <w:rPr>
          <w:rFonts w:ascii="Times New Roman" w:eastAsia="黑体" w:hAnsi="Times New Roman"/>
          <w:bCs/>
          <w:sz w:val="32"/>
          <w:szCs w:val="26"/>
        </w:rPr>
        <w:t>一、指导思想</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坚持以习近平新时代中国特色社会主义思想为指导，全面贯彻党的十九大以及十九届二中、三中、四中、五中、六中全会精神和习近平总书记在广西考察时的</w:t>
      </w:r>
      <w:r>
        <w:rPr>
          <w:rFonts w:ascii="Times New Roman" w:eastAsia="仿宋" w:hAnsi="Times New Roman" w:hint="eastAsia"/>
          <w:kern w:val="0"/>
          <w:sz w:val="32"/>
          <w:szCs w:val="32"/>
        </w:rPr>
        <w:t>视察广西“</w:t>
      </w:r>
      <w:r>
        <w:rPr>
          <w:rFonts w:ascii="Times New Roman" w:eastAsia="仿宋" w:hAnsi="Times New Roman" w:hint="eastAsia"/>
          <w:kern w:val="0"/>
          <w:sz w:val="32"/>
          <w:szCs w:val="32"/>
        </w:rPr>
        <w:t>4</w:t>
      </w:r>
      <w:r>
        <w:rPr>
          <w:rFonts w:ascii="方正小标宋简体" w:eastAsia="方正小标宋简体" w:hAnsi="方正小标宋简体" w:cs="方正小标宋简体" w:hint="eastAsia"/>
          <w:kern w:val="0"/>
          <w:sz w:val="32"/>
          <w:szCs w:val="32"/>
        </w:rPr>
        <w:t>·</w:t>
      </w:r>
      <w:r>
        <w:rPr>
          <w:rFonts w:ascii="Times New Roman" w:eastAsia="仿宋" w:hAnsi="Times New Roman" w:hint="eastAsia"/>
          <w:kern w:val="0"/>
          <w:sz w:val="32"/>
          <w:szCs w:val="32"/>
        </w:rPr>
        <w:t>27</w:t>
      </w:r>
      <w:r>
        <w:rPr>
          <w:rFonts w:ascii="Times New Roman" w:eastAsia="仿宋" w:hAnsi="Times New Roman" w:hint="eastAsia"/>
          <w:kern w:val="0"/>
          <w:sz w:val="32"/>
          <w:szCs w:val="32"/>
        </w:rPr>
        <w:t>”</w:t>
      </w:r>
      <w:r>
        <w:rPr>
          <w:rFonts w:ascii="Times New Roman" w:eastAsia="仿宋" w:hAnsi="Times New Roman"/>
          <w:kern w:val="0"/>
          <w:sz w:val="32"/>
          <w:szCs w:val="32"/>
        </w:rPr>
        <w:t>重要讲话精神</w:t>
      </w:r>
      <w:r>
        <w:rPr>
          <w:rFonts w:ascii="Times New Roman" w:eastAsia="仿宋" w:hAnsi="Times New Roman" w:hint="eastAsia"/>
          <w:kern w:val="0"/>
          <w:sz w:val="32"/>
          <w:szCs w:val="32"/>
        </w:rPr>
        <w:t>和对广西工作系列重要指示精神</w:t>
      </w:r>
      <w:r>
        <w:rPr>
          <w:rFonts w:ascii="Times New Roman" w:eastAsia="仿宋" w:hAnsi="Times New Roman"/>
          <w:kern w:val="0"/>
          <w:sz w:val="32"/>
          <w:szCs w:val="32"/>
        </w:rPr>
        <w:t>，贯彻自治区第十二次党代会精神，落实</w:t>
      </w:r>
      <w:r>
        <w:rPr>
          <w:rFonts w:ascii="Times New Roman" w:eastAsia="仿宋" w:hAnsi="Times New Roman"/>
          <w:kern w:val="0"/>
          <w:sz w:val="32"/>
          <w:szCs w:val="32"/>
        </w:rPr>
        <w:t>“</w:t>
      </w:r>
      <w:r>
        <w:rPr>
          <w:rFonts w:ascii="Times New Roman" w:eastAsia="仿宋" w:hAnsi="Times New Roman"/>
          <w:kern w:val="0"/>
          <w:sz w:val="32"/>
          <w:szCs w:val="32"/>
        </w:rPr>
        <w:t>碳达峰碳中和</w:t>
      </w:r>
      <w:r>
        <w:rPr>
          <w:rFonts w:ascii="Times New Roman" w:eastAsia="仿宋" w:hAnsi="Times New Roman"/>
          <w:kern w:val="0"/>
          <w:sz w:val="32"/>
          <w:szCs w:val="32"/>
        </w:rPr>
        <w:t>”</w:t>
      </w:r>
      <w:r>
        <w:rPr>
          <w:rFonts w:ascii="Times New Roman" w:eastAsia="仿宋" w:hAnsi="Times New Roman"/>
          <w:kern w:val="0"/>
          <w:sz w:val="32"/>
          <w:szCs w:val="32"/>
        </w:rPr>
        <w:t>、</w:t>
      </w:r>
      <w:r>
        <w:rPr>
          <w:rFonts w:ascii="Times New Roman" w:eastAsia="仿宋" w:hAnsi="Times New Roman"/>
          <w:kern w:val="0"/>
          <w:sz w:val="32"/>
          <w:szCs w:val="32"/>
        </w:rPr>
        <w:t>“</w:t>
      </w:r>
      <w:r>
        <w:rPr>
          <w:rFonts w:ascii="Times New Roman" w:eastAsia="仿宋" w:hAnsi="Times New Roman"/>
          <w:kern w:val="0"/>
          <w:sz w:val="32"/>
          <w:szCs w:val="32"/>
        </w:rPr>
        <w:t>能耗双控</w:t>
      </w:r>
      <w:r>
        <w:rPr>
          <w:rFonts w:ascii="Times New Roman" w:eastAsia="仿宋" w:hAnsi="Times New Roman"/>
          <w:kern w:val="0"/>
          <w:sz w:val="32"/>
          <w:szCs w:val="32"/>
        </w:rPr>
        <w:t>”</w:t>
      </w:r>
      <w:r>
        <w:rPr>
          <w:rFonts w:ascii="Times New Roman" w:eastAsia="仿宋" w:hAnsi="Times New Roman"/>
          <w:kern w:val="0"/>
          <w:sz w:val="32"/>
          <w:szCs w:val="32"/>
        </w:rPr>
        <w:t>等重大战略部署，牢牢把握</w:t>
      </w:r>
      <w:r>
        <w:rPr>
          <w:rFonts w:ascii="Times New Roman" w:eastAsia="仿宋" w:hAnsi="Times New Roman" w:hint="eastAsia"/>
          <w:kern w:val="0"/>
          <w:sz w:val="32"/>
          <w:szCs w:val="32"/>
        </w:rPr>
        <w:t>立足</w:t>
      </w:r>
      <w:r>
        <w:rPr>
          <w:rFonts w:ascii="Times New Roman" w:eastAsia="仿宋" w:hAnsi="Times New Roman"/>
          <w:kern w:val="0"/>
          <w:sz w:val="32"/>
          <w:szCs w:val="32"/>
        </w:rPr>
        <w:t>新发展阶段</w:t>
      </w:r>
      <w:r>
        <w:rPr>
          <w:rFonts w:ascii="Times New Roman" w:eastAsia="仿宋" w:hAnsi="Times New Roman" w:hint="eastAsia"/>
          <w:kern w:val="0"/>
          <w:sz w:val="32"/>
          <w:szCs w:val="32"/>
        </w:rPr>
        <w:t>，贯彻</w:t>
      </w:r>
      <w:r>
        <w:rPr>
          <w:rFonts w:ascii="Times New Roman" w:eastAsia="仿宋" w:hAnsi="Times New Roman"/>
          <w:kern w:val="0"/>
          <w:sz w:val="32"/>
          <w:szCs w:val="32"/>
        </w:rPr>
        <w:t>新发展理念和</w:t>
      </w:r>
      <w:r>
        <w:rPr>
          <w:rFonts w:ascii="Times New Roman" w:eastAsia="仿宋" w:hAnsi="Times New Roman" w:hint="eastAsia"/>
          <w:kern w:val="0"/>
          <w:sz w:val="32"/>
          <w:szCs w:val="32"/>
        </w:rPr>
        <w:t>，构建</w:t>
      </w:r>
      <w:r>
        <w:rPr>
          <w:rFonts w:ascii="Times New Roman" w:eastAsia="仿宋" w:hAnsi="Times New Roman"/>
          <w:kern w:val="0"/>
          <w:sz w:val="32"/>
          <w:szCs w:val="32"/>
        </w:rPr>
        <w:t>新发展格局的内在要求，以推动高质量发展为主题，</w:t>
      </w:r>
      <w:r>
        <w:rPr>
          <w:rFonts w:ascii="Times New Roman" w:eastAsia="仿宋" w:hAnsi="Times New Roman" w:hint="eastAsia"/>
          <w:kern w:val="0"/>
          <w:sz w:val="32"/>
          <w:szCs w:val="32"/>
        </w:rPr>
        <w:t>坚持“政策为大、项目为王、环境为本、创新为要”，围绕“港、区、产、城、人”发展愿景，着力“建大港、壮产业、造滨城、美乡村”。</w:t>
      </w:r>
      <w:r>
        <w:rPr>
          <w:rFonts w:ascii="Times New Roman" w:eastAsia="仿宋" w:hAnsi="Times New Roman"/>
          <w:kern w:val="0"/>
          <w:sz w:val="32"/>
          <w:szCs w:val="32"/>
        </w:rPr>
        <w:t>以深化供给侧结构性改革为主线，以绿色发展为根本，以创新发展为动力，着力推动产业转型升级，加快延伸产业链</w:t>
      </w:r>
      <w:r>
        <w:rPr>
          <w:rFonts w:ascii="Times New Roman" w:eastAsia="仿宋" w:hAnsi="Times New Roman" w:hint="eastAsia"/>
          <w:kern w:val="0"/>
          <w:sz w:val="32"/>
          <w:szCs w:val="32"/>
        </w:rPr>
        <w:t>延长产业链、完善供应链、提升价值链</w:t>
      </w:r>
      <w:r>
        <w:rPr>
          <w:rFonts w:ascii="Times New Roman" w:eastAsia="仿宋" w:hAnsi="Times New Roman"/>
          <w:kern w:val="0"/>
          <w:sz w:val="32"/>
          <w:szCs w:val="32"/>
        </w:rPr>
        <w:t>，推动钦州市散装水泥、预拌混凝土、预拌砂浆及水泥制品产业全面协调发展</w:t>
      </w:r>
      <w:r>
        <w:rPr>
          <w:rFonts w:ascii="Times New Roman" w:eastAsia="仿宋" w:hAnsi="Times New Roman" w:hint="eastAsia"/>
          <w:kern w:val="0"/>
          <w:sz w:val="32"/>
          <w:szCs w:val="32"/>
        </w:rPr>
        <w:t>优化升级</w:t>
      </w:r>
      <w:r>
        <w:rPr>
          <w:rFonts w:ascii="Times New Roman" w:eastAsia="仿宋" w:hAnsi="Times New Roman"/>
          <w:kern w:val="0"/>
          <w:sz w:val="32"/>
          <w:szCs w:val="32"/>
        </w:rPr>
        <w:t>，</w:t>
      </w:r>
      <w:r>
        <w:rPr>
          <w:rFonts w:ascii="Times New Roman" w:eastAsia="仿宋" w:hAnsi="Times New Roman" w:hint="eastAsia"/>
          <w:kern w:val="0"/>
          <w:sz w:val="32"/>
          <w:szCs w:val="32"/>
        </w:rPr>
        <w:t>加快产业高端化、智能化、绿色化发展，</w:t>
      </w:r>
      <w:r>
        <w:rPr>
          <w:rFonts w:ascii="Times New Roman" w:eastAsia="仿宋" w:hAnsi="Times New Roman"/>
          <w:kern w:val="0"/>
          <w:sz w:val="32"/>
          <w:szCs w:val="32"/>
        </w:rPr>
        <w:t>全面满足建设发展需要，为全市</w:t>
      </w:r>
      <w:r>
        <w:rPr>
          <w:rFonts w:ascii="Times New Roman" w:eastAsia="仿宋" w:hAnsi="Times New Roman"/>
          <w:kern w:val="0"/>
          <w:sz w:val="32"/>
          <w:szCs w:val="32"/>
        </w:rPr>
        <w:t>“</w:t>
      </w:r>
      <w:r>
        <w:rPr>
          <w:rFonts w:ascii="Times New Roman" w:eastAsia="仿宋" w:hAnsi="Times New Roman"/>
          <w:kern w:val="0"/>
          <w:sz w:val="32"/>
          <w:szCs w:val="32"/>
        </w:rPr>
        <w:t>十四五</w:t>
      </w:r>
      <w:r>
        <w:rPr>
          <w:rFonts w:ascii="Times New Roman" w:eastAsia="仿宋" w:hAnsi="Times New Roman"/>
          <w:kern w:val="0"/>
          <w:sz w:val="32"/>
          <w:szCs w:val="32"/>
        </w:rPr>
        <w:t>”</w:t>
      </w:r>
      <w:r>
        <w:rPr>
          <w:rFonts w:ascii="Times New Roman" w:eastAsia="仿宋" w:hAnsi="Times New Roman"/>
          <w:kern w:val="0"/>
          <w:sz w:val="32"/>
          <w:szCs w:val="32"/>
        </w:rPr>
        <w:t>时期实现</w:t>
      </w:r>
      <w:r>
        <w:rPr>
          <w:rFonts w:ascii="Times New Roman" w:eastAsia="仿宋" w:hAnsi="Times New Roman"/>
          <w:kern w:val="0"/>
          <w:sz w:val="32"/>
          <w:szCs w:val="32"/>
        </w:rPr>
        <w:t>“</w:t>
      </w:r>
      <w:r>
        <w:rPr>
          <w:rFonts w:ascii="Times New Roman" w:eastAsia="仿宋" w:hAnsi="Times New Roman"/>
          <w:kern w:val="0"/>
          <w:sz w:val="32"/>
          <w:szCs w:val="32"/>
        </w:rPr>
        <w:t>成为</w:t>
      </w:r>
      <w:r>
        <w:rPr>
          <w:rFonts w:ascii="Times New Roman" w:eastAsia="仿宋" w:hAnsi="Times New Roman" w:hint="eastAsia"/>
          <w:kern w:val="0"/>
          <w:sz w:val="32"/>
          <w:szCs w:val="32"/>
        </w:rPr>
        <w:t>建成</w:t>
      </w:r>
      <w:r>
        <w:rPr>
          <w:rFonts w:ascii="Times New Roman" w:eastAsia="仿宋" w:hAnsi="Times New Roman"/>
          <w:kern w:val="0"/>
          <w:sz w:val="32"/>
          <w:szCs w:val="32"/>
        </w:rPr>
        <w:t>广西工业强市，高水平开放高质量发展走在全区前列</w:t>
      </w:r>
      <w:r>
        <w:rPr>
          <w:rFonts w:ascii="Times New Roman" w:eastAsia="仿宋" w:hAnsi="Times New Roman"/>
          <w:kern w:val="0"/>
          <w:sz w:val="32"/>
          <w:szCs w:val="32"/>
        </w:rPr>
        <w:t>”</w:t>
      </w:r>
      <w:r>
        <w:rPr>
          <w:rFonts w:ascii="Times New Roman" w:eastAsia="仿宋" w:hAnsi="Times New Roman"/>
          <w:kern w:val="0"/>
          <w:sz w:val="32"/>
          <w:szCs w:val="32"/>
        </w:rPr>
        <w:t>目标作出应有贡献。</w:t>
      </w:r>
      <w:bookmarkStart w:id="60" w:name="_Toc24998"/>
      <w:bookmarkStart w:id="61" w:name="_Toc10050"/>
      <w:bookmarkStart w:id="62" w:name="_Toc20472"/>
      <w:bookmarkStart w:id="63" w:name="_Toc29277"/>
      <w:bookmarkStart w:id="64" w:name="_Toc13571"/>
      <w:bookmarkStart w:id="65" w:name="_Toc15220"/>
      <w:bookmarkStart w:id="66" w:name="_Toc3669"/>
      <w:bookmarkStart w:id="67" w:name="_Toc14828"/>
      <w:bookmarkStart w:id="68" w:name="_Toc89203779"/>
      <w:bookmarkStart w:id="69" w:name="_Toc4484"/>
      <w:bookmarkStart w:id="70" w:name="_Toc25445"/>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71" w:name="_Toc31516"/>
      <w:bookmarkStart w:id="72" w:name="_Toc6741"/>
      <w:r>
        <w:rPr>
          <w:rFonts w:ascii="Times New Roman" w:eastAsia="黑体" w:hAnsi="Times New Roman"/>
          <w:bCs/>
          <w:sz w:val="32"/>
          <w:szCs w:val="26"/>
        </w:rPr>
        <w:t>二、基本原则</w:t>
      </w:r>
      <w:bookmarkEnd w:id="60"/>
      <w:bookmarkEnd w:id="61"/>
      <w:bookmarkEnd w:id="62"/>
      <w:bookmarkEnd w:id="63"/>
      <w:bookmarkEnd w:id="64"/>
      <w:bookmarkEnd w:id="65"/>
      <w:bookmarkEnd w:id="66"/>
      <w:bookmarkEnd w:id="67"/>
      <w:bookmarkEnd w:id="68"/>
      <w:bookmarkEnd w:id="69"/>
      <w:bookmarkEnd w:id="70"/>
      <w:bookmarkEnd w:id="71"/>
      <w:bookmarkEnd w:id="72"/>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73" w:name="_Toc89203780"/>
      <w:bookmarkStart w:id="74" w:name="_Toc29426"/>
      <w:r>
        <w:rPr>
          <w:rFonts w:ascii="Times New Roman" w:eastAsia="楷体" w:hAnsi="Times New Roman"/>
          <w:b/>
          <w:sz w:val="32"/>
          <w:szCs w:val="27"/>
        </w:rPr>
        <w:t>（一）坚持市场主导，政府引导</w:t>
      </w:r>
      <w:bookmarkEnd w:id="73"/>
      <w:bookmarkEnd w:id="74"/>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结合地域发展特征与重点，合理规划产业发展，促进产</w:t>
      </w:r>
      <w:r>
        <w:rPr>
          <w:rFonts w:ascii="Times New Roman" w:eastAsia="仿宋" w:hAnsi="Times New Roman"/>
          <w:kern w:val="0"/>
          <w:sz w:val="32"/>
          <w:szCs w:val="32"/>
        </w:rPr>
        <w:lastRenderedPageBreak/>
        <w:t>业协调发展，发挥资源与区位优势，积极对接融入大湾区；重视职能部门间的统筹协调，完善产业发展政策，创新工作机制，分类别、分阶段推进政策落实，充分发挥协同管理效能，强化政府服务职能，依法开展行业监管。</w:t>
      </w:r>
      <w:bookmarkStart w:id="75" w:name="_Toc17282"/>
      <w:bookmarkStart w:id="76" w:name="_Toc89203781"/>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r>
        <w:rPr>
          <w:rFonts w:ascii="Times New Roman" w:eastAsia="楷体" w:hAnsi="Times New Roman"/>
          <w:b/>
          <w:sz w:val="32"/>
          <w:szCs w:val="27"/>
        </w:rPr>
        <w:t>（二）坚持绿色发展，创新发展</w:t>
      </w:r>
      <w:bookmarkEnd w:id="75"/>
      <w:bookmarkEnd w:id="76"/>
    </w:p>
    <w:p w:rsidR="00D74912" w:rsidRDefault="00FE7708">
      <w:pPr>
        <w:adjustRightInd w:val="0"/>
        <w:snapToGrid w:val="0"/>
        <w:spacing w:line="360" w:lineRule="auto"/>
        <w:ind w:firstLineChars="200" w:firstLine="640"/>
        <w:rPr>
          <w:rFonts w:ascii="Times New Roman" w:eastAsia="仿宋_GB2312" w:hAnsi="Times New Roman"/>
          <w:kern w:val="0"/>
          <w:sz w:val="32"/>
          <w:szCs w:val="32"/>
        </w:rPr>
      </w:pPr>
      <w:r>
        <w:rPr>
          <w:rFonts w:ascii="Times New Roman" w:eastAsia="仿宋" w:hAnsi="Times New Roman"/>
          <w:kern w:val="0"/>
          <w:sz w:val="32"/>
          <w:szCs w:val="32"/>
        </w:rPr>
        <w:t>充分发挥市场机制作用，淘汰落后产能，推进清洁生产，发展循环经济，提高固体废弃物综合利用率，促进节能减排；加强技术创新和管理创新，鼓励发展新技术新产品，推进两化融合、智能制造，实现绿色发展、创新发展。</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77" w:name="_Toc89203782"/>
      <w:bookmarkStart w:id="78" w:name="_Toc25675"/>
      <w:r>
        <w:rPr>
          <w:rFonts w:ascii="Times New Roman" w:eastAsia="楷体" w:hAnsi="Times New Roman"/>
          <w:b/>
          <w:sz w:val="32"/>
          <w:szCs w:val="27"/>
        </w:rPr>
        <w:t>（三）坚持结构优化，转型升级</w:t>
      </w:r>
      <w:bookmarkEnd w:id="77"/>
      <w:bookmarkEnd w:id="78"/>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改造提升传统产业，延伸产业链条，不断优化供给结构，加快发展新兴产业和新产品，有效提升产业竞争力，加快形成散装水泥、预拌混凝土、预拌砂浆及水泥制品协调发展的新格局。</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79" w:name="_Toc89203783"/>
      <w:bookmarkStart w:id="80" w:name="_Toc24949"/>
      <w:r>
        <w:rPr>
          <w:rFonts w:ascii="Times New Roman" w:eastAsia="楷体" w:hAnsi="Times New Roman"/>
          <w:b/>
          <w:sz w:val="32"/>
          <w:szCs w:val="27"/>
        </w:rPr>
        <w:t>（四）坚持质量第一，安全生产</w:t>
      </w:r>
      <w:bookmarkEnd w:id="79"/>
      <w:bookmarkEnd w:id="80"/>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严格按照国家、行业及地方相关标准规范监督行业生产、销售行为，加大对违法行为的查处、处罚力度；进一步强化对预拌混凝土、预拌砂浆行业的安全生产和产品质量监管，不断提升行业安全生产和产品质量水平。</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81" w:name="_Toc75"/>
      <w:bookmarkStart w:id="82" w:name="_Toc10228"/>
      <w:bookmarkStart w:id="83" w:name="_Toc4508"/>
      <w:bookmarkStart w:id="84" w:name="_Toc19887"/>
      <w:bookmarkStart w:id="85" w:name="_Toc21708"/>
      <w:bookmarkStart w:id="86" w:name="_Toc22501"/>
      <w:bookmarkStart w:id="87" w:name="_Toc24489"/>
      <w:bookmarkStart w:id="88" w:name="_Toc30822"/>
      <w:bookmarkStart w:id="89" w:name="_Toc10015"/>
      <w:bookmarkStart w:id="90" w:name="_Toc18073"/>
      <w:bookmarkStart w:id="91" w:name="_Toc9251"/>
      <w:bookmarkStart w:id="92" w:name="_Toc3692"/>
      <w:bookmarkStart w:id="93" w:name="_Toc89203784"/>
      <w:bookmarkStart w:id="94" w:name="_Toc28252"/>
      <w:bookmarkStart w:id="95" w:name="_Toc24953"/>
      <w:r>
        <w:rPr>
          <w:rFonts w:ascii="Times New Roman" w:eastAsia="黑体" w:hAnsi="Times New Roman"/>
          <w:bCs/>
          <w:sz w:val="32"/>
          <w:szCs w:val="26"/>
        </w:rPr>
        <w:t>三、发展目标</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96" w:name="_Toc89203785"/>
      <w:bookmarkStart w:id="97" w:name="_Toc20410"/>
      <w:r>
        <w:rPr>
          <w:rFonts w:ascii="Times New Roman" w:eastAsia="楷体" w:hAnsi="Times New Roman"/>
          <w:b/>
          <w:sz w:val="32"/>
          <w:szCs w:val="27"/>
        </w:rPr>
        <w:t>（一）规模目标</w:t>
      </w:r>
      <w:bookmarkEnd w:id="96"/>
      <w:bookmarkEnd w:id="97"/>
    </w:p>
    <w:p w:rsidR="00D74912" w:rsidRDefault="00FE7708">
      <w:pPr>
        <w:adjustRightInd w:val="0"/>
        <w:snapToGrid w:val="0"/>
        <w:spacing w:line="360" w:lineRule="auto"/>
        <w:ind w:firstLineChars="200" w:firstLine="643"/>
        <w:rPr>
          <w:rFonts w:ascii="Times New Roman" w:eastAsia="仿宋" w:hAnsi="Times New Roman"/>
          <w:b/>
          <w:bCs/>
          <w:kern w:val="0"/>
          <w:sz w:val="32"/>
          <w:szCs w:val="32"/>
        </w:rPr>
      </w:pPr>
      <w:r>
        <w:rPr>
          <w:rFonts w:ascii="Times New Roman" w:eastAsia="仿宋" w:hAnsi="Times New Roman"/>
          <w:b/>
          <w:bCs/>
          <w:kern w:val="0"/>
          <w:sz w:val="32"/>
          <w:szCs w:val="32"/>
        </w:rPr>
        <w:t>1.</w:t>
      </w:r>
      <w:r>
        <w:rPr>
          <w:rFonts w:ascii="Times New Roman" w:eastAsia="仿宋" w:hAnsi="Times New Roman"/>
          <w:b/>
          <w:bCs/>
          <w:kern w:val="0"/>
          <w:sz w:val="32"/>
          <w:szCs w:val="32"/>
        </w:rPr>
        <w:t>散装水泥</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lastRenderedPageBreak/>
        <w:t>到</w:t>
      </w:r>
      <w:r>
        <w:rPr>
          <w:rFonts w:ascii="Times New Roman" w:eastAsia="仿宋" w:hAnsi="Times New Roman"/>
          <w:kern w:val="0"/>
          <w:sz w:val="32"/>
          <w:szCs w:val="32"/>
        </w:rPr>
        <w:t>2025</w:t>
      </w:r>
      <w:r>
        <w:rPr>
          <w:rFonts w:ascii="Times New Roman" w:eastAsia="仿宋" w:hAnsi="Times New Roman"/>
          <w:kern w:val="0"/>
          <w:sz w:val="32"/>
          <w:szCs w:val="32"/>
        </w:rPr>
        <w:t>年，全市本地水泥散装率达到</w:t>
      </w:r>
      <w:r>
        <w:rPr>
          <w:rFonts w:ascii="Times New Roman" w:eastAsia="仿宋" w:hAnsi="Times New Roman"/>
          <w:kern w:val="0"/>
          <w:sz w:val="32"/>
          <w:szCs w:val="32"/>
        </w:rPr>
        <w:t>80%</w:t>
      </w:r>
      <w:r>
        <w:rPr>
          <w:rFonts w:ascii="Times New Roman" w:eastAsia="仿宋" w:hAnsi="Times New Roman"/>
          <w:kern w:val="0"/>
          <w:sz w:val="32"/>
          <w:szCs w:val="32"/>
        </w:rPr>
        <w:t>以上，农村散装水泥使用率达到</w:t>
      </w:r>
      <w:r>
        <w:rPr>
          <w:rFonts w:ascii="Times New Roman" w:eastAsia="仿宋" w:hAnsi="Times New Roman"/>
          <w:kern w:val="0"/>
          <w:sz w:val="32"/>
          <w:szCs w:val="32"/>
        </w:rPr>
        <w:t>60%</w:t>
      </w:r>
      <w:r>
        <w:rPr>
          <w:rFonts w:ascii="Times New Roman" w:eastAsia="仿宋" w:hAnsi="Times New Roman"/>
          <w:kern w:val="0"/>
          <w:sz w:val="32"/>
          <w:szCs w:val="32"/>
        </w:rPr>
        <w:t>以上。</w:t>
      </w:r>
    </w:p>
    <w:p w:rsidR="00D74912" w:rsidRDefault="00FE7708">
      <w:pPr>
        <w:adjustRightInd w:val="0"/>
        <w:snapToGrid w:val="0"/>
        <w:spacing w:line="360" w:lineRule="auto"/>
        <w:ind w:firstLineChars="200" w:firstLine="643"/>
        <w:rPr>
          <w:rFonts w:ascii="Times New Roman" w:eastAsia="仿宋" w:hAnsi="Times New Roman"/>
          <w:b/>
          <w:bCs/>
          <w:kern w:val="0"/>
          <w:sz w:val="32"/>
          <w:szCs w:val="32"/>
        </w:rPr>
      </w:pPr>
      <w:r>
        <w:rPr>
          <w:rFonts w:ascii="Times New Roman" w:eastAsia="仿宋" w:hAnsi="Times New Roman"/>
          <w:b/>
          <w:bCs/>
          <w:kern w:val="0"/>
          <w:sz w:val="32"/>
          <w:szCs w:val="32"/>
        </w:rPr>
        <w:t>2.</w:t>
      </w:r>
      <w:r>
        <w:rPr>
          <w:rFonts w:ascii="Times New Roman" w:eastAsia="仿宋" w:hAnsi="Times New Roman"/>
          <w:b/>
          <w:bCs/>
          <w:kern w:val="0"/>
          <w:sz w:val="32"/>
          <w:szCs w:val="32"/>
        </w:rPr>
        <w:t>预拌混凝土</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到</w:t>
      </w:r>
      <w:r>
        <w:rPr>
          <w:rFonts w:ascii="Times New Roman" w:eastAsia="仿宋" w:hAnsi="Times New Roman"/>
          <w:kern w:val="0"/>
          <w:sz w:val="32"/>
          <w:szCs w:val="32"/>
        </w:rPr>
        <w:t>2025</w:t>
      </w:r>
      <w:r>
        <w:rPr>
          <w:rFonts w:ascii="Times New Roman" w:eastAsia="仿宋" w:hAnsi="Times New Roman"/>
          <w:kern w:val="0"/>
          <w:sz w:val="32"/>
          <w:szCs w:val="32"/>
        </w:rPr>
        <w:t>年，实现全市预拌混凝土平均产能利用率不低于</w:t>
      </w:r>
      <w:r>
        <w:rPr>
          <w:rFonts w:ascii="Times New Roman" w:eastAsia="仿宋" w:hAnsi="Times New Roman"/>
          <w:kern w:val="0"/>
          <w:sz w:val="32"/>
          <w:szCs w:val="32"/>
        </w:rPr>
        <w:t>40%</w:t>
      </w:r>
      <w:r>
        <w:rPr>
          <w:rFonts w:ascii="Times New Roman" w:eastAsia="仿宋" w:hAnsi="Times New Roman"/>
          <w:kern w:val="0"/>
          <w:sz w:val="32"/>
          <w:szCs w:val="32"/>
        </w:rPr>
        <w:t>，乡镇农村预拌混凝土使用率达到</w:t>
      </w:r>
      <w:r>
        <w:rPr>
          <w:rFonts w:ascii="Times New Roman" w:eastAsia="仿宋" w:hAnsi="Times New Roman"/>
          <w:kern w:val="0"/>
          <w:sz w:val="32"/>
          <w:szCs w:val="32"/>
        </w:rPr>
        <w:t>50%</w:t>
      </w:r>
      <w:r>
        <w:rPr>
          <w:rFonts w:ascii="Times New Roman" w:eastAsia="仿宋" w:hAnsi="Times New Roman"/>
          <w:kern w:val="0"/>
          <w:sz w:val="32"/>
          <w:szCs w:val="32"/>
        </w:rPr>
        <w:t>以上。</w:t>
      </w:r>
    </w:p>
    <w:p w:rsidR="00D74912" w:rsidRDefault="00FE7708">
      <w:pPr>
        <w:adjustRightInd w:val="0"/>
        <w:snapToGrid w:val="0"/>
        <w:spacing w:line="360" w:lineRule="auto"/>
        <w:ind w:firstLineChars="200" w:firstLine="643"/>
        <w:rPr>
          <w:rFonts w:ascii="Times New Roman" w:eastAsia="仿宋" w:hAnsi="Times New Roman"/>
          <w:b/>
          <w:bCs/>
          <w:kern w:val="0"/>
          <w:sz w:val="32"/>
          <w:szCs w:val="32"/>
        </w:rPr>
      </w:pPr>
      <w:r>
        <w:rPr>
          <w:rFonts w:ascii="Times New Roman" w:eastAsia="仿宋" w:hAnsi="Times New Roman"/>
          <w:b/>
          <w:bCs/>
          <w:kern w:val="0"/>
          <w:sz w:val="32"/>
          <w:szCs w:val="32"/>
        </w:rPr>
        <w:t>3.</w:t>
      </w:r>
      <w:r>
        <w:rPr>
          <w:rFonts w:ascii="Times New Roman" w:eastAsia="仿宋" w:hAnsi="Times New Roman"/>
          <w:b/>
          <w:bCs/>
          <w:kern w:val="0"/>
          <w:sz w:val="32"/>
          <w:szCs w:val="32"/>
        </w:rPr>
        <w:t>预拌砂浆</w:t>
      </w:r>
    </w:p>
    <w:p w:rsidR="00D74912" w:rsidRDefault="00FE7708">
      <w:pPr>
        <w:adjustRightInd w:val="0"/>
        <w:snapToGrid w:val="0"/>
        <w:spacing w:line="360" w:lineRule="auto"/>
        <w:ind w:firstLineChars="200" w:firstLine="640"/>
        <w:rPr>
          <w:rFonts w:ascii="Times New Roman" w:eastAsia="仿宋" w:hAnsi="Times New Roman"/>
        </w:rPr>
      </w:pPr>
      <w:r>
        <w:rPr>
          <w:rFonts w:ascii="Times New Roman" w:eastAsia="仿宋" w:hAnsi="Times New Roman"/>
          <w:kern w:val="0"/>
          <w:sz w:val="32"/>
          <w:szCs w:val="32"/>
        </w:rPr>
        <w:t>到</w:t>
      </w:r>
      <w:r>
        <w:rPr>
          <w:rFonts w:ascii="Times New Roman" w:eastAsia="仿宋" w:hAnsi="Times New Roman"/>
          <w:kern w:val="0"/>
          <w:sz w:val="32"/>
          <w:szCs w:val="32"/>
        </w:rPr>
        <w:t>2025</w:t>
      </w:r>
      <w:r>
        <w:rPr>
          <w:rFonts w:ascii="Times New Roman" w:eastAsia="仿宋" w:hAnsi="Times New Roman"/>
          <w:kern w:val="0"/>
          <w:sz w:val="32"/>
          <w:szCs w:val="32"/>
        </w:rPr>
        <w:t>年，实现预拌砂浆使用率达到</w:t>
      </w:r>
      <w:r>
        <w:rPr>
          <w:rFonts w:ascii="Times New Roman" w:eastAsia="仿宋" w:hAnsi="Times New Roman"/>
          <w:kern w:val="0"/>
          <w:sz w:val="32"/>
          <w:szCs w:val="32"/>
        </w:rPr>
        <w:t>70%</w:t>
      </w:r>
      <w:r>
        <w:rPr>
          <w:rFonts w:ascii="Times New Roman" w:eastAsia="仿宋" w:hAnsi="Times New Roman"/>
          <w:kern w:val="0"/>
          <w:sz w:val="32"/>
          <w:szCs w:val="32"/>
        </w:rPr>
        <w:t>，平均产能利用率不低于</w:t>
      </w:r>
      <w:r>
        <w:rPr>
          <w:rFonts w:ascii="Times New Roman" w:eastAsia="仿宋" w:hAnsi="Times New Roman"/>
          <w:kern w:val="0"/>
          <w:sz w:val="32"/>
          <w:szCs w:val="32"/>
        </w:rPr>
        <w:t>70%</w:t>
      </w:r>
      <w:r>
        <w:rPr>
          <w:rFonts w:ascii="Times New Roman" w:eastAsia="仿宋" w:hAnsi="Times New Roman"/>
          <w:kern w:val="0"/>
          <w:sz w:val="32"/>
          <w:szCs w:val="32"/>
        </w:rPr>
        <w:t>（其中干混砂浆不低于</w:t>
      </w:r>
      <w:r>
        <w:rPr>
          <w:rFonts w:ascii="Times New Roman" w:eastAsia="仿宋" w:hAnsi="Times New Roman"/>
          <w:kern w:val="0"/>
          <w:sz w:val="32"/>
          <w:szCs w:val="32"/>
        </w:rPr>
        <w:t>70%</w:t>
      </w:r>
      <w:r>
        <w:rPr>
          <w:rFonts w:ascii="Times New Roman" w:eastAsia="仿宋" w:hAnsi="Times New Roman"/>
          <w:kern w:val="0"/>
          <w:sz w:val="32"/>
          <w:szCs w:val="32"/>
        </w:rPr>
        <w:t>，湿拌砂浆产能利用率不低于</w:t>
      </w:r>
      <w:r>
        <w:rPr>
          <w:rFonts w:ascii="Times New Roman" w:eastAsia="仿宋" w:hAnsi="Times New Roman"/>
          <w:kern w:val="0"/>
          <w:sz w:val="32"/>
          <w:szCs w:val="32"/>
        </w:rPr>
        <w:t>40%</w:t>
      </w:r>
      <w:r>
        <w:rPr>
          <w:rFonts w:ascii="Times New Roman" w:eastAsia="仿宋" w:hAnsi="Times New Roman"/>
          <w:kern w:val="0"/>
          <w:sz w:val="32"/>
          <w:szCs w:val="32"/>
        </w:rPr>
        <w:t>）。</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98" w:name="_Toc89203786"/>
      <w:r>
        <w:rPr>
          <w:rFonts w:ascii="Times New Roman" w:eastAsia="楷体" w:hAnsi="Times New Roman"/>
          <w:b/>
          <w:sz w:val="32"/>
          <w:szCs w:val="27"/>
        </w:rPr>
        <w:t>（二）绿色发展目标</w:t>
      </w:r>
      <w:bookmarkEnd w:id="98"/>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全市范围开展绿色生产评价，加快推进绿色建材产品认证，依法推行行业清洁化生产改造。到</w:t>
      </w:r>
      <w:r>
        <w:rPr>
          <w:rFonts w:ascii="Times New Roman" w:eastAsia="仿宋" w:hAnsi="Times New Roman"/>
          <w:kern w:val="0"/>
          <w:sz w:val="32"/>
          <w:szCs w:val="32"/>
        </w:rPr>
        <w:t>2025</w:t>
      </w:r>
      <w:r>
        <w:rPr>
          <w:rFonts w:ascii="Times New Roman" w:eastAsia="仿宋" w:hAnsi="Times New Roman"/>
          <w:kern w:val="0"/>
          <w:sz w:val="32"/>
          <w:szCs w:val="32"/>
        </w:rPr>
        <w:t>年，力争培育</w:t>
      </w:r>
      <w:r>
        <w:rPr>
          <w:rFonts w:ascii="Times New Roman" w:eastAsia="仿宋" w:hAnsi="Times New Roman"/>
          <w:kern w:val="0"/>
          <w:sz w:val="32"/>
          <w:szCs w:val="32"/>
        </w:rPr>
        <w:t>2</w:t>
      </w:r>
      <w:r>
        <w:rPr>
          <w:rFonts w:ascii="Times New Roman" w:eastAsia="仿宋" w:hAnsi="Times New Roman"/>
          <w:kern w:val="0"/>
          <w:sz w:val="32"/>
          <w:szCs w:val="32"/>
        </w:rPr>
        <w:t>家以上自治区示范企业。</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到</w:t>
      </w:r>
      <w:r>
        <w:rPr>
          <w:rFonts w:ascii="Times New Roman" w:eastAsia="仿宋" w:hAnsi="Times New Roman"/>
          <w:kern w:val="0"/>
          <w:sz w:val="32"/>
          <w:szCs w:val="32"/>
        </w:rPr>
        <w:t>2025</w:t>
      </w:r>
      <w:r>
        <w:rPr>
          <w:rFonts w:ascii="Times New Roman" w:eastAsia="仿宋" w:hAnsi="Times New Roman"/>
          <w:kern w:val="0"/>
          <w:sz w:val="32"/>
          <w:szCs w:val="32"/>
        </w:rPr>
        <w:t>年，全市预拌混凝土生产企业均达到《预拌混凝土绿色生产及管理技术规程》</w:t>
      </w:r>
      <w:r>
        <w:rPr>
          <w:rFonts w:ascii="Times New Roman" w:eastAsia="仿宋" w:hAnsi="Times New Roman"/>
          <w:kern w:val="0"/>
          <w:sz w:val="32"/>
          <w:szCs w:val="32"/>
        </w:rPr>
        <w:t>JGJ/T 328</w:t>
      </w:r>
      <w:r>
        <w:rPr>
          <w:rFonts w:ascii="Times New Roman" w:eastAsia="仿宋" w:hAnsi="Times New Roman"/>
          <w:kern w:val="0"/>
          <w:sz w:val="32"/>
          <w:szCs w:val="32"/>
        </w:rPr>
        <w:t>绿色生产一星级及以上水平，其中</w:t>
      </w:r>
      <w:r>
        <w:rPr>
          <w:rFonts w:ascii="Times New Roman" w:eastAsia="仿宋" w:hAnsi="Times New Roman"/>
          <w:kern w:val="0"/>
          <w:sz w:val="32"/>
          <w:szCs w:val="32"/>
        </w:rPr>
        <w:t>50%</w:t>
      </w:r>
      <w:r>
        <w:rPr>
          <w:rFonts w:ascii="Times New Roman" w:eastAsia="仿宋" w:hAnsi="Times New Roman"/>
          <w:kern w:val="0"/>
          <w:sz w:val="32"/>
          <w:szCs w:val="32"/>
        </w:rPr>
        <w:t>达到二星级及以上水平；预拌混凝土单位产品能耗均达到《预拌混凝土单位产品能源消耗限额》</w:t>
      </w:r>
      <w:r>
        <w:rPr>
          <w:rFonts w:ascii="Times New Roman" w:eastAsia="仿宋" w:hAnsi="Times New Roman"/>
          <w:kern w:val="0"/>
          <w:sz w:val="32"/>
          <w:szCs w:val="32"/>
        </w:rPr>
        <w:t>GB36888</w:t>
      </w:r>
      <w:r>
        <w:rPr>
          <w:rFonts w:ascii="Times New Roman" w:eastAsia="仿宋" w:hAnsi="Times New Roman"/>
          <w:kern w:val="0"/>
          <w:sz w:val="32"/>
          <w:szCs w:val="32"/>
        </w:rPr>
        <w:t>标准</w:t>
      </w:r>
      <w:r>
        <w:rPr>
          <w:rFonts w:ascii="Times New Roman" w:eastAsia="仿宋" w:hAnsi="Times New Roman"/>
          <w:kern w:val="0"/>
          <w:sz w:val="32"/>
          <w:szCs w:val="32"/>
        </w:rPr>
        <w:t>2</w:t>
      </w:r>
      <w:r>
        <w:rPr>
          <w:rFonts w:ascii="Times New Roman" w:eastAsia="仿宋" w:hAnsi="Times New Roman"/>
          <w:kern w:val="0"/>
          <w:sz w:val="32"/>
          <w:szCs w:val="32"/>
        </w:rPr>
        <w:t>级能耗限额及以上水平；预拌混凝土生产水耗优于《</w:t>
      </w:r>
      <w:hyperlink r:id="rId13" w:history="1">
        <w:r>
          <w:rPr>
            <w:rFonts w:ascii="Times New Roman" w:eastAsia="仿宋" w:hAnsi="Times New Roman"/>
            <w:kern w:val="0"/>
            <w:sz w:val="32"/>
            <w:szCs w:val="32"/>
          </w:rPr>
          <w:t>工业用水定额：预拌混凝土及水泥制品</w:t>
        </w:r>
      </w:hyperlink>
      <w:r>
        <w:rPr>
          <w:rFonts w:ascii="Times New Roman" w:eastAsia="仿宋" w:hAnsi="Times New Roman"/>
          <w:kern w:val="0"/>
          <w:sz w:val="32"/>
          <w:szCs w:val="32"/>
        </w:rPr>
        <w:t>》（水节约〔</w:t>
      </w:r>
      <w:r>
        <w:rPr>
          <w:rFonts w:ascii="Times New Roman" w:eastAsia="仿宋" w:hAnsi="Times New Roman"/>
          <w:kern w:val="0"/>
          <w:sz w:val="32"/>
          <w:szCs w:val="32"/>
        </w:rPr>
        <w:t>2020</w:t>
      </w:r>
      <w:r>
        <w:rPr>
          <w:rFonts w:ascii="Times New Roman" w:eastAsia="仿宋" w:hAnsi="Times New Roman"/>
          <w:kern w:val="0"/>
          <w:sz w:val="32"/>
          <w:szCs w:val="32"/>
        </w:rPr>
        <w:t>〕</w:t>
      </w:r>
      <w:r>
        <w:rPr>
          <w:rFonts w:ascii="Times New Roman" w:eastAsia="仿宋" w:hAnsi="Times New Roman"/>
          <w:kern w:val="0"/>
          <w:sz w:val="32"/>
          <w:szCs w:val="32"/>
        </w:rPr>
        <w:t>290</w:t>
      </w:r>
      <w:r>
        <w:rPr>
          <w:rFonts w:ascii="Times New Roman" w:eastAsia="仿宋" w:hAnsi="Times New Roman"/>
          <w:kern w:val="0"/>
          <w:sz w:val="32"/>
          <w:szCs w:val="32"/>
        </w:rPr>
        <w:t>号）通用值水平。</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3.</w:t>
      </w:r>
      <w:r>
        <w:rPr>
          <w:rFonts w:ascii="Times New Roman" w:eastAsia="仿宋" w:hAnsi="Times New Roman"/>
          <w:kern w:val="0"/>
          <w:sz w:val="32"/>
          <w:szCs w:val="32"/>
        </w:rPr>
        <w:t>到</w:t>
      </w:r>
      <w:r>
        <w:rPr>
          <w:rFonts w:ascii="Times New Roman" w:eastAsia="仿宋" w:hAnsi="Times New Roman"/>
          <w:kern w:val="0"/>
          <w:sz w:val="32"/>
          <w:szCs w:val="32"/>
        </w:rPr>
        <w:t>2025</w:t>
      </w:r>
      <w:r>
        <w:rPr>
          <w:rFonts w:ascii="Times New Roman" w:eastAsia="仿宋" w:hAnsi="Times New Roman"/>
          <w:kern w:val="0"/>
          <w:sz w:val="32"/>
          <w:szCs w:val="32"/>
        </w:rPr>
        <w:t>年，全市预拌砂浆及水泥制品生产企业建设或改造均达到绿色生产标准要求，实现清洁化生产；全市水泥</w:t>
      </w:r>
      <w:r>
        <w:rPr>
          <w:rFonts w:ascii="Times New Roman" w:eastAsia="仿宋" w:hAnsi="Times New Roman"/>
          <w:kern w:val="0"/>
          <w:sz w:val="32"/>
          <w:szCs w:val="32"/>
        </w:rPr>
        <w:lastRenderedPageBreak/>
        <w:t>制品生产企业均达到《水泥制品单位产品能源消耗限额》</w:t>
      </w:r>
      <w:r>
        <w:rPr>
          <w:rFonts w:ascii="Times New Roman" w:eastAsia="仿宋" w:hAnsi="Times New Roman"/>
          <w:kern w:val="0"/>
          <w:sz w:val="32"/>
          <w:szCs w:val="32"/>
        </w:rPr>
        <w:t>GB36263</w:t>
      </w:r>
      <w:r>
        <w:rPr>
          <w:rFonts w:ascii="Times New Roman" w:eastAsia="仿宋" w:hAnsi="Times New Roman"/>
          <w:kern w:val="0"/>
          <w:sz w:val="32"/>
          <w:szCs w:val="32"/>
        </w:rPr>
        <w:t>标准</w:t>
      </w:r>
      <w:r>
        <w:rPr>
          <w:rFonts w:ascii="Times New Roman" w:eastAsia="仿宋" w:hAnsi="Times New Roman"/>
          <w:kern w:val="0"/>
          <w:sz w:val="32"/>
          <w:szCs w:val="32"/>
        </w:rPr>
        <w:t>3</w:t>
      </w:r>
      <w:r>
        <w:rPr>
          <w:rFonts w:ascii="Times New Roman" w:eastAsia="仿宋" w:hAnsi="Times New Roman"/>
          <w:kern w:val="0"/>
          <w:sz w:val="32"/>
          <w:szCs w:val="32"/>
        </w:rPr>
        <w:t>级能耗限额及以上水平；水泥制品生产用水优于《</w:t>
      </w:r>
      <w:hyperlink r:id="rId14" w:history="1">
        <w:r>
          <w:rPr>
            <w:rFonts w:ascii="Times New Roman" w:eastAsia="仿宋" w:hAnsi="Times New Roman"/>
            <w:kern w:val="0"/>
            <w:sz w:val="32"/>
            <w:szCs w:val="32"/>
          </w:rPr>
          <w:t>工业用水定额：预拌混凝土及水泥制品</w:t>
        </w:r>
      </w:hyperlink>
      <w:r>
        <w:rPr>
          <w:rFonts w:ascii="Times New Roman" w:eastAsia="仿宋" w:hAnsi="Times New Roman"/>
          <w:kern w:val="0"/>
          <w:sz w:val="32"/>
          <w:szCs w:val="32"/>
        </w:rPr>
        <w:t>》（水节约〔</w:t>
      </w:r>
      <w:r>
        <w:rPr>
          <w:rFonts w:ascii="Times New Roman" w:eastAsia="仿宋" w:hAnsi="Times New Roman"/>
          <w:kern w:val="0"/>
          <w:sz w:val="32"/>
          <w:szCs w:val="32"/>
        </w:rPr>
        <w:t>2020</w:t>
      </w:r>
      <w:r>
        <w:rPr>
          <w:rFonts w:ascii="Times New Roman" w:eastAsia="仿宋" w:hAnsi="Times New Roman"/>
          <w:kern w:val="0"/>
          <w:sz w:val="32"/>
          <w:szCs w:val="32"/>
        </w:rPr>
        <w:t>〕</w:t>
      </w:r>
      <w:r>
        <w:rPr>
          <w:rFonts w:ascii="Times New Roman" w:eastAsia="仿宋" w:hAnsi="Times New Roman"/>
          <w:kern w:val="0"/>
          <w:sz w:val="32"/>
          <w:szCs w:val="32"/>
        </w:rPr>
        <w:t>290</w:t>
      </w:r>
      <w:r>
        <w:rPr>
          <w:rFonts w:ascii="Times New Roman" w:eastAsia="仿宋" w:hAnsi="Times New Roman"/>
          <w:kern w:val="0"/>
          <w:sz w:val="32"/>
          <w:szCs w:val="32"/>
        </w:rPr>
        <w:t>号）通用值水平；预拌砂浆生产能耗和水耗水平优于区内平均水平。</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r>
        <w:rPr>
          <w:rFonts w:ascii="Times New Roman" w:eastAsia="楷体" w:hAnsi="Times New Roman"/>
          <w:b/>
          <w:sz w:val="32"/>
          <w:szCs w:val="27"/>
        </w:rPr>
        <w:t>（三）健全产业链发展目标</w:t>
      </w:r>
    </w:p>
    <w:p w:rsidR="00D74912" w:rsidRDefault="00FE7708">
      <w:pPr>
        <w:adjustRightInd w:val="0"/>
        <w:snapToGrid w:val="0"/>
        <w:spacing w:line="360" w:lineRule="auto"/>
        <w:ind w:firstLineChars="200" w:firstLine="640"/>
        <w:rPr>
          <w:rFonts w:ascii="Times New Roman" w:eastAsia="仿宋" w:hAnsi="Times New Roman"/>
        </w:rPr>
      </w:pPr>
      <w:r>
        <w:rPr>
          <w:rFonts w:ascii="Times New Roman" w:eastAsia="仿宋" w:hAnsi="Times New Roman"/>
          <w:kern w:val="0"/>
          <w:sz w:val="32"/>
          <w:szCs w:val="32"/>
        </w:rPr>
        <w:t>将水泥制品纳入散装水泥发展应用体系管理；整合提升现有产能，规范新增产能，到</w:t>
      </w:r>
      <w:r>
        <w:rPr>
          <w:rFonts w:ascii="Times New Roman" w:eastAsia="仿宋" w:hAnsi="Times New Roman"/>
          <w:kern w:val="0"/>
          <w:sz w:val="32"/>
          <w:szCs w:val="32"/>
        </w:rPr>
        <w:t>2025</w:t>
      </w:r>
      <w:r>
        <w:rPr>
          <w:rFonts w:ascii="Times New Roman" w:eastAsia="仿宋" w:hAnsi="Times New Roman"/>
          <w:kern w:val="0"/>
          <w:sz w:val="32"/>
          <w:szCs w:val="32"/>
        </w:rPr>
        <w:t>年，实现水泥制品规模以上企业占比达到</w:t>
      </w:r>
      <w:r>
        <w:rPr>
          <w:rFonts w:ascii="Times New Roman" w:eastAsia="仿宋" w:hAnsi="Times New Roman"/>
          <w:kern w:val="0"/>
          <w:sz w:val="32"/>
          <w:szCs w:val="32"/>
        </w:rPr>
        <w:t>50%</w:t>
      </w:r>
      <w:r>
        <w:rPr>
          <w:rFonts w:ascii="Times New Roman" w:eastAsia="仿宋" w:hAnsi="Times New Roman"/>
          <w:kern w:val="0"/>
          <w:sz w:val="32"/>
          <w:szCs w:val="32"/>
        </w:rPr>
        <w:t>以上，培育或引进</w:t>
      </w:r>
      <w:r>
        <w:rPr>
          <w:rFonts w:ascii="Times New Roman" w:eastAsia="仿宋" w:hAnsi="Times New Roman"/>
          <w:kern w:val="0"/>
          <w:sz w:val="32"/>
          <w:szCs w:val="32"/>
        </w:rPr>
        <w:t>1</w:t>
      </w:r>
      <w:r>
        <w:rPr>
          <w:rFonts w:ascii="Times New Roman" w:eastAsia="仿宋" w:hAnsi="Times New Roman"/>
          <w:kern w:val="0"/>
          <w:sz w:val="32"/>
          <w:szCs w:val="32"/>
        </w:rPr>
        <w:t>家国内龙头企业。</w:t>
      </w:r>
      <w:bookmarkStart w:id="99" w:name="_Toc24414"/>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00" w:name="_Toc89203787"/>
      <w:r>
        <w:rPr>
          <w:rFonts w:ascii="Times New Roman" w:eastAsia="楷体" w:hAnsi="Times New Roman"/>
          <w:b/>
          <w:sz w:val="32"/>
          <w:szCs w:val="27"/>
        </w:rPr>
        <w:t>（四）</w:t>
      </w:r>
      <w:bookmarkEnd w:id="99"/>
      <w:r>
        <w:rPr>
          <w:rFonts w:ascii="Times New Roman" w:eastAsia="楷体" w:hAnsi="Times New Roman"/>
          <w:b/>
          <w:sz w:val="32"/>
          <w:szCs w:val="27"/>
        </w:rPr>
        <w:t>两化融合发展目标</w:t>
      </w:r>
      <w:bookmarkEnd w:id="100"/>
    </w:p>
    <w:p w:rsidR="00D74912" w:rsidRDefault="00FE7708">
      <w:pPr>
        <w:pStyle w:val="2"/>
        <w:spacing w:after="0"/>
        <w:ind w:left="0" w:firstLineChars="200" w:firstLine="640"/>
        <w:rPr>
          <w:rFonts w:ascii="Times New Roman" w:eastAsia="仿宋" w:hAnsi="Times New Roman"/>
          <w:kern w:val="0"/>
          <w:sz w:val="32"/>
          <w:szCs w:val="32"/>
        </w:rPr>
      </w:pPr>
      <w:r>
        <w:rPr>
          <w:rFonts w:ascii="Times New Roman" w:eastAsia="仿宋" w:hAnsi="Times New Roman"/>
          <w:kern w:val="0"/>
          <w:sz w:val="32"/>
          <w:szCs w:val="32"/>
        </w:rPr>
        <w:t>推进散装水泥行业与信息技术的深度融合，在线监测、生产过程智能优化等应用基本普及；到</w:t>
      </w:r>
      <w:r>
        <w:rPr>
          <w:rFonts w:ascii="Times New Roman" w:eastAsia="仿宋" w:hAnsi="Times New Roman"/>
          <w:kern w:val="0"/>
          <w:sz w:val="32"/>
          <w:szCs w:val="32"/>
        </w:rPr>
        <w:t>2025</w:t>
      </w:r>
      <w:r>
        <w:rPr>
          <w:rFonts w:ascii="Times New Roman" w:eastAsia="仿宋" w:hAnsi="Times New Roman"/>
          <w:kern w:val="0"/>
          <w:sz w:val="32"/>
          <w:szCs w:val="32"/>
        </w:rPr>
        <w:t>年，建成</w:t>
      </w:r>
      <w:r>
        <w:rPr>
          <w:rFonts w:ascii="Times New Roman" w:eastAsia="仿宋" w:hAnsi="Times New Roman"/>
          <w:kern w:val="0"/>
          <w:sz w:val="32"/>
          <w:szCs w:val="32"/>
        </w:rPr>
        <w:t>1</w:t>
      </w:r>
      <w:r>
        <w:rPr>
          <w:rFonts w:ascii="Times New Roman" w:eastAsia="仿宋" w:hAnsi="Times New Roman"/>
          <w:kern w:val="0"/>
          <w:sz w:val="32"/>
          <w:szCs w:val="32"/>
        </w:rPr>
        <w:t>家行业智能制造示范工厂。</w:t>
      </w:r>
    </w:p>
    <w:p w:rsidR="00D74912" w:rsidRDefault="00D74912">
      <w:pPr>
        <w:widowControl/>
        <w:adjustRightInd w:val="0"/>
        <w:snapToGrid w:val="0"/>
        <w:spacing w:line="360" w:lineRule="auto"/>
        <w:jc w:val="center"/>
        <w:rPr>
          <w:rFonts w:ascii="Times New Roman" w:eastAsia="仿宋" w:hAnsi="Times New Roman"/>
          <w:kern w:val="0"/>
          <w:sz w:val="24"/>
          <w:szCs w:val="24"/>
        </w:rPr>
      </w:pPr>
    </w:p>
    <w:p w:rsidR="00D74912" w:rsidRDefault="00FE7708">
      <w:pPr>
        <w:widowControl/>
        <w:adjustRightInd w:val="0"/>
        <w:snapToGrid w:val="0"/>
        <w:spacing w:line="360" w:lineRule="auto"/>
        <w:jc w:val="center"/>
        <w:rPr>
          <w:rFonts w:ascii="Times New Roman" w:eastAsia="黑体" w:hAnsi="Times New Roman"/>
          <w:kern w:val="0"/>
          <w:sz w:val="24"/>
          <w:szCs w:val="24"/>
        </w:rPr>
      </w:pPr>
      <w:r>
        <w:rPr>
          <w:rFonts w:ascii="Times New Roman" w:eastAsia="仿宋" w:hAnsi="Times New Roman"/>
          <w:b/>
          <w:bCs/>
          <w:kern w:val="0"/>
          <w:sz w:val="24"/>
          <w:szCs w:val="24"/>
        </w:rPr>
        <w:t>表</w:t>
      </w:r>
      <w:r>
        <w:rPr>
          <w:rFonts w:ascii="Times New Roman" w:eastAsia="仿宋" w:hAnsi="Times New Roman"/>
          <w:b/>
          <w:bCs/>
          <w:kern w:val="0"/>
          <w:sz w:val="24"/>
          <w:szCs w:val="24"/>
        </w:rPr>
        <w:t>3-1 “</w:t>
      </w:r>
      <w:r>
        <w:rPr>
          <w:rFonts w:ascii="Times New Roman" w:eastAsia="仿宋" w:hAnsi="Times New Roman"/>
          <w:b/>
          <w:bCs/>
          <w:kern w:val="0"/>
          <w:sz w:val="24"/>
          <w:szCs w:val="24"/>
        </w:rPr>
        <w:t>十四五</w:t>
      </w:r>
      <w:r>
        <w:rPr>
          <w:rFonts w:ascii="Times New Roman" w:eastAsia="仿宋" w:hAnsi="Times New Roman"/>
          <w:b/>
          <w:bCs/>
          <w:kern w:val="0"/>
          <w:sz w:val="24"/>
          <w:szCs w:val="24"/>
        </w:rPr>
        <w:t>”</w:t>
      </w:r>
      <w:r>
        <w:rPr>
          <w:rFonts w:ascii="Times New Roman" w:eastAsia="仿宋" w:hAnsi="Times New Roman"/>
          <w:b/>
          <w:bCs/>
          <w:kern w:val="0"/>
          <w:sz w:val="24"/>
          <w:szCs w:val="24"/>
        </w:rPr>
        <w:t>钦州市散装水泥行业发展主要目标</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3"/>
        <w:gridCol w:w="1995"/>
        <w:gridCol w:w="1351"/>
        <w:gridCol w:w="2644"/>
        <w:gridCol w:w="1054"/>
      </w:tblGrid>
      <w:tr w:rsidR="00D74912">
        <w:trPr>
          <w:trHeight w:val="391"/>
          <w:jc w:val="center"/>
        </w:trPr>
        <w:tc>
          <w:tcPr>
            <w:tcW w:w="3468" w:type="dxa"/>
            <w:gridSpan w:val="2"/>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b/>
                <w:sz w:val="24"/>
                <w:szCs w:val="20"/>
              </w:rPr>
              <w:t>指</w:t>
            </w:r>
            <w:r>
              <w:rPr>
                <w:rFonts w:ascii="Times New Roman" w:eastAsia="仿宋" w:hAnsi="Times New Roman"/>
                <w:b/>
                <w:sz w:val="24"/>
                <w:szCs w:val="20"/>
              </w:rPr>
              <w:t xml:space="preserve">        </w:t>
            </w:r>
            <w:r>
              <w:rPr>
                <w:rFonts w:ascii="Times New Roman" w:eastAsia="仿宋" w:hAnsi="Times New Roman"/>
                <w:b/>
                <w:sz w:val="24"/>
                <w:szCs w:val="20"/>
              </w:rPr>
              <w:t>标</w:t>
            </w:r>
          </w:p>
        </w:tc>
        <w:tc>
          <w:tcPr>
            <w:tcW w:w="1351" w:type="dxa"/>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b/>
                <w:sz w:val="24"/>
                <w:szCs w:val="20"/>
              </w:rPr>
              <w:t>2020</w:t>
            </w:r>
            <w:r>
              <w:rPr>
                <w:rFonts w:ascii="Times New Roman" w:eastAsia="仿宋" w:hAnsi="Times New Roman"/>
                <w:b/>
                <w:sz w:val="24"/>
                <w:szCs w:val="20"/>
              </w:rPr>
              <w:t>年</w:t>
            </w:r>
          </w:p>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b/>
                <w:sz w:val="24"/>
                <w:szCs w:val="20"/>
              </w:rPr>
              <w:t>实际</w:t>
            </w:r>
          </w:p>
        </w:tc>
        <w:tc>
          <w:tcPr>
            <w:tcW w:w="2644" w:type="dxa"/>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b/>
                <w:sz w:val="24"/>
                <w:szCs w:val="20"/>
              </w:rPr>
              <w:t>2025</w:t>
            </w:r>
            <w:r>
              <w:rPr>
                <w:rFonts w:ascii="Times New Roman" w:eastAsia="仿宋" w:hAnsi="Times New Roman"/>
                <w:b/>
                <w:sz w:val="24"/>
                <w:szCs w:val="20"/>
              </w:rPr>
              <w:t>年目标</w:t>
            </w:r>
          </w:p>
        </w:tc>
        <w:tc>
          <w:tcPr>
            <w:tcW w:w="1054" w:type="dxa"/>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b/>
                <w:sz w:val="24"/>
                <w:szCs w:val="20"/>
              </w:rPr>
              <w:t>备注</w:t>
            </w:r>
          </w:p>
        </w:tc>
      </w:tr>
      <w:tr w:rsidR="00D74912">
        <w:trPr>
          <w:trHeight w:val="391"/>
          <w:jc w:val="center"/>
        </w:trPr>
        <w:tc>
          <w:tcPr>
            <w:tcW w:w="8517" w:type="dxa"/>
            <w:gridSpan w:val="5"/>
            <w:vAlign w:val="center"/>
          </w:tcPr>
          <w:p w:rsidR="00D74912" w:rsidRDefault="00FE7708">
            <w:pPr>
              <w:spacing w:line="276" w:lineRule="auto"/>
              <w:rPr>
                <w:rFonts w:ascii="Times New Roman" w:eastAsia="仿宋" w:hAnsi="Times New Roman"/>
                <w:b/>
                <w:sz w:val="24"/>
                <w:szCs w:val="20"/>
              </w:rPr>
            </w:pPr>
            <w:r>
              <w:rPr>
                <w:rFonts w:ascii="Times New Roman" w:eastAsia="仿宋" w:hAnsi="Times New Roman"/>
                <w:b/>
                <w:sz w:val="24"/>
                <w:szCs w:val="20"/>
              </w:rPr>
              <w:t>一、规模目标</w:t>
            </w:r>
          </w:p>
        </w:tc>
      </w:tr>
      <w:tr w:rsidR="00D74912">
        <w:trPr>
          <w:trHeight w:val="397"/>
          <w:jc w:val="center"/>
        </w:trPr>
        <w:tc>
          <w:tcPr>
            <w:tcW w:w="3468" w:type="dxa"/>
            <w:gridSpan w:val="2"/>
            <w:vAlign w:val="center"/>
          </w:tcPr>
          <w:p w:rsidR="00D74912" w:rsidRDefault="00FE7708">
            <w:pPr>
              <w:spacing w:line="276" w:lineRule="auto"/>
              <w:rPr>
                <w:rFonts w:ascii="Times New Roman" w:eastAsia="仿宋" w:hAnsi="Times New Roman"/>
                <w:bCs/>
                <w:sz w:val="24"/>
                <w:szCs w:val="20"/>
              </w:rPr>
            </w:pPr>
            <w:r>
              <w:rPr>
                <w:rFonts w:ascii="Times New Roman" w:eastAsia="仿宋" w:hAnsi="Times New Roman"/>
                <w:bCs/>
                <w:sz w:val="24"/>
                <w:szCs w:val="20"/>
              </w:rPr>
              <w:t>水泥散装率</w:t>
            </w:r>
            <w:r>
              <w:rPr>
                <w:rFonts w:ascii="Times New Roman" w:eastAsia="仿宋" w:hAnsi="Times New Roman"/>
                <w:sz w:val="24"/>
                <w:szCs w:val="20"/>
              </w:rPr>
              <w:t>（</w:t>
            </w:r>
            <w:r>
              <w:rPr>
                <w:rFonts w:ascii="Times New Roman" w:eastAsia="仿宋" w:hAnsi="Times New Roman"/>
                <w:sz w:val="24"/>
                <w:szCs w:val="20"/>
              </w:rPr>
              <w:t>%</w:t>
            </w:r>
            <w:r>
              <w:rPr>
                <w:rFonts w:ascii="Times New Roman" w:eastAsia="仿宋" w:hAnsi="Times New Roman"/>
                <w:sz w:val="24"/>
                <w:szCs w:val="20"/>
              </w:rPr>
              <w:t>）</w:t>
            </w:r>
          </w:p>
        </w:tc>
        <w:tc>
          <w:tcPr>
            <w:tcW w:w="1351"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60</w:t>
            </w:r>
          </w:p>
        </w:tc>
        <w:tc>
          <w:tcPr>
            <w:tcW w:w="2644"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80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tc>
      </w:tr>
      <w:tr w:rsidR="00D74912">
        <w:trPr>
          <w:trHeight w:val="90"/>
          <w:jc w:val="center"/>
        </w:trPr>
        <w:tc>
          <w:tcPr>
            <w:tcW w:w="3468" w:type="dxa"/>
            <w:gridSpan w:val="2"/>
            <w:vAlign w:val="center"/>
          </w:tcPr>
          <w:p w:rsidR="00D74912" w:rsidRDefault="00FE7708">
            <w:pPr>
              <w:spacing w:line="276" w:lineRule="auto"/>
              <w:rPr>
                <w:rFonts w:ascii="Times New Roman" w:eastAsia="仿宋" w:hAnsi="Times New Roman"/>
                <w:bCs/>
                <w:sz w:val="24"/>
                <w:szCs w:val="20"/>
              </w:rPr>
            </w:pPr>
            <w:r>
              <w:rPr>
                <w:rFonts w:ascii="Times New Roman" w:eastAsia="仿宋" w:hAnsi="Times New Roman"/>
                <w:bCs/>
                <w:sz w:val="24"/>
                <w:szCs w:val="20"/>
              </w:rPr>
              <w:t>中心城区及周边乡镇预拌混凝土产能利用率</w:t>
            </w:r>
            <w:r>
              <w:rPr>
                <w:rFonts w:ascii="Times New Roman" w:eastAsia="仿宋" w:hAnsi="Times New Roman"/>
                <w:sz w:val="24"/>
                <w:szCs w:val="20"/>
              </w:rPr>
              <w:t>（</w:t>
            </w:r>
            <w:r>
              <w:rPr>
                <w:rFonts w:ascii="Times New Roman" w:eastAsia="仿宋" w:hAnsi="Times New Roman"/>
                <w:sz w:val="24"/>
                <w:szCs w:val="20"/>
              </w:rPr>
              <w:t>%</w:t>
            </w:r>
            <w:r>
              <w:rPr>
                <w:rFonts w:ascii="Times New Roman" w:eastAsia="仿宋" w:hAnsi="Times New Roman"/>
                <w:sz w:val="24"/>
                <w:szCs w:val="20"/>
              </w:rPr>
              <w:t>）</w:t>
            </w:r>
          </w:p>
        </w:tc>
        <w:tc>
          <w:tcPr>
            <w:tcW w:w="1351"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30</w:t>
            </w:r>
          </w:p>
        </w:tc>
        <w:tc>
          <w:tcPr>
            <w:tcW w:w="2644"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40</w:t>
            </w:r>
          </w:p>
        </w:tc>
        <w:tc>
          <w:tcPr>
            <w:tcW w:w="1054"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预期性</w:t>
            </w:r>
          </w:p>
        </w:tc>
      </w:tr>
      <w:tr w:rsidR="00D74912">
        <w:trPr>
          <w:trHeight w:val="766"/>
          <w:jc w:val="center"/>
        </w:trPr>
        <w:tc>
          <w:tcPr>
            <w:tcW w:w="3468" w:type="dxa"/>
            <w:gridSpan w:val="2"/>
            <w:vAlign w:val="center"/>
          </w:tcPr>
          <w:p w:rsidR="00D74912" w:rsidRDefault="00FE7708">
            <w:pPr>
              <w:spacing w:line="276" w:lineRule="auto"/>
              <w:rPr>
                <w:rFonts w:ascii="Times New Roman" w:eastAsia="仿宋" w:hAnsi="Times New Roman"/>
                <w:bCs/>
                <w:sz w:val="24"/>
                <w:szCs w:val="20"/>
              </w:rPr>
            </w:pPr>
            <w:r>
              <w:rPr>
                <w:rFonts w:ascii="Times New Roman" w:eastAsia="仿宋" w:hAnsi="Times New Roman"/>
                <w:bCs/>
                <w:sz w:val="24"/>
                <w:szCs w:val="20"/>
              </w:rPr>
              <w:t>乡镇农村市场预拌混凝土使用率（</w:t>
            </w:r>
            <w:r>
              <w:rPr>
                <w:rFonts w:ascii="Times New Roman" w:eastAsia="仿宋" w:hAnsi="Times New Roman"/>
                <w:bCs/>
                <w:sz w:val="24"/>
                <w:szCs w:val="20"/>
              </w:rPr>
              <w:t>%</w:t>
            </w:r>
            <w:r>
              <w:rPr>
                <w:rFonts w:ascii="Times New Roman" w:eastAsia="仿宋" w:hAnsi="Times New Roman"/>
                <w:bCs/>
                <w:sz w:val="24"/>
                <w:szCs w:val="20"/>
              </w:rPr>
              <w:t>）</w:t>
            </w:r>
          </w:p>
        </w:tc>
        <w:tc>
          <w:tcPr>
            <w:tcW w:w="1351"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40</w:t>
            </w:r>
          </w:p>
        </w:tc>
        <w:tc>
          <w:tcPr>
            <w:tcW w:w="2644"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50</w:t>
            </w:r>
          </w:p>
        </w:tc>
        <w:tc>
          <w:tcPr>
            <w:tcW w:w="1054" w:type="dxa"/>
            <w:vAlign w:val="center"/>
          </w:tcPr>
          <w:p w:rsidR="00D74912" w:rsidRDefault="00FE7708">
            <w:pPr>
              <w:spacing w:line="276" w:lineRule="auto"/>
              <w:jc w:val="center"/>
              <w:rPr>
                <w:rFonts w:ascii="Times New Roman" w:eastAsia="仿宋" w:hAnsi="Times New Roman"/>
                <w:bCs/>
                <w:sz w:val="24"/>
                <w:szCs w:val="20"/>
              </w:rPr>
            </w:pPr>
            <w:r>
              <w:rPr>
                <w:rFonts w:ascii="Times New Roman" w:eastAsia="仿宋" w:hAnsi="Times New Roman"/>
                <w:bCs/>
                <w:sz w:val="24"/>
                <w:szCs w:val="20"/>
              </w:rPr>
              <w:t>预期性</w:t>
            </w:r>
          </w:p>
        </w:tc>
      </w:tr>
      <w:tr w:rsidR="00D74912">
        <w:trPr>
          <w:trHeight w:val="391"/>
          <w:jc w:val="center"/>
        </w:trPr>
        <w:tc>
          <w:tcPr>
            <w:tcW w:w="3468" w:type="dxa"/>
            <w:gridSpan w:val="2"/>
            <w:vAlign w:val="center"/>
          </w:tcPr>
          <w:p w:rsidR="00D74912" w:rsidRDefault="00FE7708">
            <w:pPr>
              <w:spacing w:line="276" w:lineRule="auto"/>
              <w:rPr>
                <w:rFonts w:ascii="Times New Roman" w:eastAsia="仿宋" w:hAnsi="Times New Roman"/>
                <w:b/>
                <w:sz w:val="24"/>
                <w:szCs w:val="20"/>
              </w:rPr>
            </w:pPr>
            <w:r>
              <w:rPr>
                <w:rFonts w:ascii="Times New Roman" w:eastAsia="仿宋" w:hAnsi="Times New Roman"/>
                <w:sz w:val="24"/>
                <w:szCs w:val="20"/>
              </w:rPr>
              <w:t>预拌砂浆使用率（</w:t>
            </w:r>
            <w:r>
              <w:rPr>
                <w:rFonts w:ascii="Times New Roman" w:eastAsia="仿宋" w:hAnsi="Times New Roman"/>
                <w:sz w:val="24"/>
                <w:szCs w:val="20"/>
              </w:rPr>
              <w:t>%</w:t>
            </w:r>
            <w:r>
              <w:rPr>
                <w:rFonts w:ascii="Times New Roman" w:eastAsia="仿宋" w:hAnsi="Times New Roman"/>
                <w:sz w:val="24"/>
                <w:szCs w:val="20"/>
              </w:rPr>
              <w:t>）</w:t>
            </w:r>
          </w:p>
        </w:tc>
        <w:tc>
          <w:tcPr>
            <w:tcW w:w="1351" w:type="dxa"/>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sz w:val="24"/>
                <w:szCs w:val="20"/>
              </w:rPr>
              <w:t>60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tc>
      </w:tr>
      <w:tr w:rsidR="00D74912">
        <w:trPr>
          <w:trHeight w:val="391"/>
          <w:jc w:val="center"/>
        </w:trPr>
        <w:tc>
          <w:tcPr>
            <w:tcW w:w="3468" w:type="dxa"/>
            <w:gridSpan w:val="2"/>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预拌砂浆平均产能利用率</w:t>
            </w:r>
            <w:r>
              <w:rPr>
                <w:rFonts w:ascii="Times New Roman" w:eastAsia="仿宋" w:hAnsi="Times New Roman"/>
                <w:sz w:val="24"/>
                <w:szCs w:val="20"/>
              </w:rPr>
              <w:t>%</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干混砂浆</w:t>
            </w:r>
            <w:r>
              <w:rPr>
                <w:rFonts w:ascii="Times New Roman" w:eastAsia="仿宋" w:hAnsi="Times New Roman"/>
                <w:sz w:val="24"/>
                <w:szCs w:val="20"/>
              </w:rPr>
              <w:t>≥70</w:t>
            </w:r>
          </w:p>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湿拌砂浆</w:t>
            </w:r>
            <w:r>
              <w:rPr>
                <w:rFonts w:ascii="Times New Roman" w:eastAsia="仿宋" w:hAnsi="Times New Roman"/>
                <w:sz w:val="24"/>
                <w:szCs w:val="20"/>
              </w:rPr>
              <w:t>≥40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tc>
      </w:tr>
      <w:tr w:rsidR="00D74912">
        <w:trPr>
          <w:trHeight w:val="391"/>
          <w:jc w:val="center"/>
        </w:trPr>
        <w:tc>
          <w:tcPr>
            <w:tcW w:w="8517" w:type="dxa"/>
            <w:gridSpan w:val="5"/>
            <w:vAlign w:val="center"/>
          </w:tcPr>
          <w:p w:rsidR="00D74912" w:rsidRDefault="00FE7708">
            <w:pPr>
              <w:spacing w:line="276" w:lineRule="auto"/>
              <w:rPr>
                <w:rFonts w:ascii="Times New Roman" w:eastAsia="仿宋" w:hAnsi="Times New Roman"/>
                <w:b/>
                <w:sz w:val="24"/>
                <w:szCs w:val="20"/>
              </w:rPr>
            </w:pPr>
            <w:r>
              <w:rPr>
                <w:rFonts w:ascii="Times New Roman" w:eastAsia="仿宋" w:hAnsi="Times New Roman"/>
                <w:b/>
                <w:sz w:val="24"/>
                <w:szCs w:val="20"/>
              </w:rPr>
              <w:t>二、绿色发展目标</w:t>
            </w:r>
          </w:p>
        </w:tc>
      </w:tr>
      <w:tr w:rsidR="00D74912">
        <w:trPr>
          <w:trHeight w:val="190"/>
          <w:jc w:val="center"/>
        </w:trPr>
        <w:tc>
          <w:tcPr>
            <w:tcW w:w="1473" w:type="dxa"/>
            <w:vMerge w:val="restart"/>
            <w:vAlign w:val="center"/>
          </w:tcPr>
          <w:p w:rsidR="00D74912" w:rsidRDefault="00FE7708">
            <w:pPr>
              <w:spacing w:line="276" w:lineRule="auto"/>
              <w:jc w:val="left"/>
              <w:rPr>
                <w:rFonts w:ascii="Times New Roman" w:eastAsia="仿宋" w:hAnsi="Times New Roman"/>
                <w:b/>
                <w:sz w:val="24"/>
                <w:szCs w:val="20"/>
              </w:rPr>
            </w:pPr>
            <w:r>
              <w:rPr>
                <w:rFonts w:ascii="Times New Roman" w:eastAsia="仿宋" w:hAnsi="Times New Roman"/>
                <w:sz w:val="24"/>
                <w:szCs w:val="20"/>
              </w:rPr>
              <w:t>预拌混凝土</w:t>
            </w: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清洁化生产改造</w:t>
            </w:r>
            <w:r>
              <w:rPr>
                <w:rFonts w:ascii="Times New Roman" w:eastAsia="仿宋" w:hAnsi="Times New Roman"/>
                <w:sz w:val="24"/>
                <w:szCs w:val="20"/>
              </w:rPr>
              <w:lastRenderedPageBreak/>
              <w:t>完成率</w:t>
            </w:r>
            <w:r>
              <w:rPr>
                <w:rFonts w:ascii="Times New Roman" w:eastAsia="仿宋" w:hAnsi="Times New Roman"/>
                <w:sz w:val="24"/>
                <w:szCs w:val="20"/>
              </w:rPr>
              <w:t>%</w:t>
            </w:r>
          </w:p>
        </w:tc>
        <w:tc>
          <w:tcPr>
            <w:tcW w:w="1351" w:type="dxa"/>
            <w:vMerge w:val="restart"/>
            <w:vAlign w:val="center"/>
          </w:tcPr>
          <w:p w:rsidR="00D74912" w:rsidRDefault="00FE7708">
            <w:pPr>
              <w:spacing w:line="276" w:lineRule="auto"/>
              <w:jc w:val="center"/>
              <w:rPr>
                <w:rFonts w:ascii="Times New Roman" w:eastAsia="仿宋" w:hAnsi="Times New Roman"/>
                <w:b/>
                <w:sz w:val="24"/>
                <w:szCs w:val="20"/>
              </w:rPr>
            </w:pPr>
            <w:r>
              <w:rPr>
                <w:rFonts w:ascii="Times New Roman" w:eastAsia="仿宋" w:hAnsi="Times New Roman"/>
                <w:b/>
                <w:sz w:val="24"/>
                <w:szCs w:val="20"/>
              </w:rPr>
              <w:lastRenderedPageBreak/>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100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约束性</w:t>
            </w:r>
          </w:p>
        </w:tc>
      </w:tr>
      <w:tr w:rsidR="00D74912">
        <w:trPr>
          <w:trHeight w:val="190"/>
          <w:jc w:val="center"/>
        </w:trPr>
        <w:tc>
          <w:tcPr>
            <w:tcW w:w="1473" w:type="dxa"/>
            <w:vMerge/>
            <w:vAlign w:val="center"/>
          </w:tcPr>
          <w:p w:rsidR="00D74912" w:rsidRDefault="00D74912">
            <w:pPr>
              <w:spacing w:line="276" w:lineRule="auto"/>
              <w:jc w:val="left"/>
              <w:rPr>
                <w:rFonts w:ascii="Times New Roman" w:eastAsia="仿宋" w:hAnsi="Times New Roman"/>
                <w:sz w:val="24"/>
                <w:szCs w:val="20"/>
              </w:rPr>
            </w:pP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绿色二星级及以上水平</w:t>
            </w:r>
            <w:r>
              <w:rPr>
                <w:rFonts w:ascii="Times New Roman" w:eastAsia="仿宋" w:hAnsi="Times New Roman"/>
                <w:sz w:val="24"/>
                <w:szCs w:val="20"/>
              </w:rPr>
              <w:t>%</w:t>
            </w:r>
          </w:p>
        </w:tc>
        <w:tc>
          <w:tcPr>
            <w:tcW w:w="1351" w:type="dxa"/>
            <w:vMerge/>
            <w:vAlign w:val="center"/>
          </w:tcPr>
          <w:p w:rsidR="00D74912" w:rsidRDefault="00D74912">
            <w:pPr>
              <w:spacing w:line="276" w:lineRule="auto"/>
              <w:jc w:val="left"/>
              <w:rPr>
                <w:rFonts w:ascii="Times New Roman" w:eastAsia="仿宋" w:hAnsi="Times New Roman"/>
                <w:sz w:val="24"/>
                <w:szCs w:val="20"/>
              </w:rPr>
            </w:pP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50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约束性</w:t>
            </w:r>
          </w:p>
        </w:tc>
      </w:tr>
      <w:tr w:rsidR="00D74912">
        <w:trPr>
          <w:trHeight w:val="190"/>
          <w:jc w:val="center"/>
        </w:trPr>
        <w:tc>
          <w:tcPr>
            <w:tcW w:w="1473" w:type="dxa"/>
            <w:vMerge/>
            <w:vAlign w:val="center"/>
          </w:tcPr>
          <w:p w:rsidR="00D74912" w:rsidRDefault="00D74912">
            <w:pPr>
              <w:spacing w:line="276" w:lineRule="auto"/>
              <w:jc w:val="left"/>
              <w:rPr>
                <w:rFonts w:ascii="Times New Roman" w:eastAsia="仿宋" w:hAnsi="Times New Roman"/>
                <w:sz w:val="24"/>
                <w:szCs w:val="20"/>
              </w:rPr>
            </w:pP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自治区示范企业（家）</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0</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p w:rsidR="00D74912" w:rsidRDefault="00D74912">
            <w:pPr>
              <w:spacing w:line="276" w:lineRule="auto"/>
              <w:jc w:val="center"/>
              <w:rPr>
                <w:rFonts w:ascii="Times New Roman" w:eastAsia="仿宋" w:hAnsi="Times New Roman"/>
                <w:sz w:val="24"/>
                <w:szCs w:val="20"/>
              </w:rPr>
            </w:pPr>
          </w:p>
        </w:tc>
      </w:tr>
      <w:tr w:rsidR="00D74912">
        <w:trPr>
          <w:trHeight w:val="190"/>
          <w:jc w:val="center"/>
        </w:trPr>
        <w:tc>
          <w:tcPr>
            <w:tcW w:w="1473" w:type="dxa"/>
            <w:vMerge/>
            <w:vAlign w:val="center"/>
          </w:tcPr>
          <w:p w:rsidR="00D74912" w:rsidRDefault="00D74912">
            <w:pPr>
              <w:spacing w:line="276" w:lineRule="auto"/>
              <w:jc w:val="left"/>
              <w:rPr>
                <w:rFonts w:ascii="Times New Roman" w:eastAsia="仿宋" w:hAnsi="Times New Roman"/>
                <w:sz w:val="24"/>
                <w:szCs w:val="20"/>
              </w:rPr>
            </w:pP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单位产品能耗</w:t>
            </w:r>
            <w:r>
              <w:rPr>
                <w:rFonts w:ascii="Times New Roman" w:eastAsia="仿宋" w:hAnsi="Times New Roman"/>
                <w:sz w:val="24"/>
                <w:szCs w:val="20"/>
              </w:rPr>
              <w:t>kgce/m³</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1.25</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达到《预拌混凝土单位产品能源消耗限额》（</w:t>
            </w:r>
            <w:r>
              <w:rPr>
                <w:rFonts w:ascii="Times New Roman" w:eastAsia="仿宋" w:hAnsi="Times New Roman"/>
                <w:sz w:val="24"/>
                <w:szCs w:val="20"/>
              </w:rPr>
              <w:t>GB 36888-2018</w:t>
            </w:r>
            <w:r>
              <w:rPr>
                <w:rFonts w:ascii="Times New Roman" w:eastAsia="仿宋" w:hAnsi="Times New Roman"/>
                <w:sz w:val="24"/>
                <w:szCs w:val="20"/>
              </w:rPr>
              <w:t>）二级能耗标准</w:t>
            </w:r>
          </w:p>
        </w:tc>
        <w:tc>
          <w:tcPr>
            <w:tcW w:w="1054" w:type="dxa"/>
            <w:vMerge w:val="restart"/>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约束性</w:t>
            </w:r>
          </w:p>
        </w:tc>
      </w:tr>
      <w:tr w:rsidR="00D74912">
        <w:trPr>
          <w:trHeight w:val="190"/>
          <w:jc w:val="center"/>
        </w:trPr>
        <w:tc>
          <w:tcPr>
            <w:tcW w:w="1473" w:type="dxa"/>
            <w:vAlign w:val="center"/>
          </w:tcPr>
          <w:p w:rsidR="00D74912" w:rsidRDefault="00D74912">
            <w:pPr>
              <w:spacing w:line="276" w:lineRule="auto"/>
              <w:jc w:val="left"/>
              <w:rPr>
                <w:rFonts w:ascii="Times New Roman" w:eastAsia="仿宋" w:hAnsi="Times New Roman"/>
                <w:sz w:val="24"/>
                <w:szCs w:val="20"/>
              </w:rPr>
            </w:pP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生产水耗</w:t>
            </w:r>
            <w:r>
              <w:rPr>
                <w:rFonts w:ascii="Times New Roman" w:eastAsia="仿宋" w:hAnsi="Times New Roman"/>
                <w:sz w:val="24"/>
                <w:szCs w:val="20"/>
              </w:rPr>
              <w:t>m³/m³</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优于《</w:t>
            </w:r>
            <w:hyperlink r:id="rId15" w:history="1">
              <w:r>
                <w:rPr>
                  <w:rFonts w:ascii="Times New Roman" w:eastAsia="仿宋" w:hAnsi="Times New Roman"/>
                  <w:sz w:val="24"/>
                  <w:szCs w:val="20"/>
                </w:rPr>
                <w:t>工业用水定额：预拌混凝土及水泥制品</w:t>
              </w:r>
            </w:hyperlink>
            <w:r>
              <w:rPr>
                <w:rFonts w:ascii="Times New Roman" w:eastAsia="仿宋" w:hAnsi="Times New Roman"/>
                <w:sz w:val="24"/>
                <w:szCs w:val="20"/>
              </w:rPr>
              <w:t>》（水节约〔</w:t>
            </w:r>
            <w:r>
              <w:rPr>
                <w:rFonts w:ascii="Times New Roman" w:eastAsia="仿宋" w:hAnsi="Times New Roman"/>
                <w:sz w:val="24"/>
                <w:szCs w:val="20"/>
              </w:rPr>
              <w:t>2020</w:t>
            </w:r>
            <w:r>
              <w:rPr>
                <w:rFonts w:ascii="Times New Roman" w:eastAsia="仿宋" w:hAnsi="Times New Roman"/>
                <w:sz w:val="24"/>
                <w:szCs w:val="20"/>
              </w:rPr>
              <w:t>〕</w:t>
            </w:r>
            <w:r>
              <w:rPr>
                <w:rFonts w:ascii="Times New Roman" w:eastAsia="仿宋" w:hAnsi="Times New Roman"/>
                <w:sz w:val="24"/>
                <w:szCs w:val="20"/>
              </w:rPr>
              <w:t>290</w:t>
            </w:r>
            <w:r>
              <w:rPr>
                <w:rFonts w:ascii="Times New Roman" w:eastAsia="仿宋" w:hAnsi="Times New Roman"/>
                <w:sz w:val="24"/>
                <w:szCs w:val="20"/>
              </w:rPr>
              <w:t>号）通用值水平</w:t>
            </w:r>
          </w:p>
        </w:tc>
        <w:tc>
          <w:tcPr>
            <w:tcW w:w="1054" w:type="dxa"/>
            <w:vMerge/>
            <w:vAlign w:val="center"/>
          </w:tcPr>
          <w:p w:rsidR="00D74912" w:rsidRDefault="00D74912">
            <w:pPr>
              <w:spacing w:line="276" w:lineRule="auto"/>
              <w:jc w:val="center"/>
              <w:rPr>
                <w:rFonts w:ascii="Times New Roman" w:eastAsia="仿宋" w:hAnsi="Times New Roman"/>
                <w:sz w:val="24"/>
                <w:szCs w:val="20"/>
              </w:rPr>
            </w:pPr>
          </w:p>
        </w:tc>
      </w:tr>
      <w:tr w:rsidR="00D74912">
        <w:trPr>
          <w:trHeight w:val="397"/>
          <w:jc w:val="center"/>
        </w:trPr>
        <w:tc>
          <w:tcPr>
            <w:tcW w:w="1473" w:type="dxa"/>
            <w:vMerge w:val="restart"/>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预拌砂浆</w:t>
            </w: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清洁化生产改造完成率</w:t>
            </w:r>
            <w:r>
              <w:rPr>
                <w:rFonts w:ascii="Times New Roman" w:eastAsia="仿宋" w:hAnsi="Times New Roman"/>
                <w:sz w:val="24"/>
                <w:szCs w:val="20"/>
              </w:rPr>
              <w:t>%</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100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约束性</w:t>
            </w:r>
          </w:p>
        </w:tc>
      </w:tr>
      <w:tr w:rsidR="00D74912">
        <w:trPr>
          <w:trHeight w:val="397"/>
          <w:jc w:val="center"/>
        </w:trPr>
        <w:tc>
          <w:tcPr>
            <w:tcW w:w="1473" w:type="dxa"/>
            <w:vMerge/>
            <w:vAlign w:val="center"/>
          </w:tcPr>
          <w:p w:rsidR="00D74912" w:rsidRDefault="00D74912">
            <w:pPr>
              <w:spacing w:line="276" w:lineRule="auto"/>
              <w:rPr>
                <w:rFonts w:ascii="Times New Roman" w:eastAsia="仿宋" w:hAnsi="Times New Roman"/>
                <w:sz w:val="24"/>
                <w:szCs w:val="20"/>
              </w:rPr>
            </w:pP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自治区示范企业</w:t>
            </w:r>
          </w:p>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（家）</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0</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tc>
      </w:tr>
      <w:tr w:rsidR="00D74912">
        <w:trPr>
          <w:trHeight w:val="397"/>
          <w:jc w:val="center"/>
        </w:trPr>
        <w:tc>
          <w:tcPr>
            <w:tcW w:w="1473" w:type="dxa"/>
            <w:vMerge/>
            <w:vAlign w:val="center"/>
          </w:tcPr>
          <w:p w:rsidR="00D74912" w:rsidRDefault="00D74912">
            <w:pPr>
              <w:spacing w:line="276" w:lineRule="auto"/>
              <w:rPr>
                <w:rFonts w:ascii="Times New Roman" w:eastAsia="仿宋" w:hAnsi="Times New Roman"/>
                <w:sz w:val="24"/>
                <w:szCs w:val="20"/>
              </w:rPr>
            </w:pPr>
          </w:p>
        </w:tc>
        <w:tc>
          <w:tcPr>
            <w:tcW w:w="1995" w:type="dxa"/>
            <w:vAlign w:val="center"/>
          </w:tcPr>
          <w:p w:rsidR="00D74912" w:rsidRDefault="00FE7708">
            <w:pPr>
              <w:spacing w:line="276" w:lineRule="auto"/>
              <w:jc w:val="left"/>
              <w:rPr>
                <w:rFonts w:ascii="Times New Roman" w:eastAsia="仿宋" w:hAnsi="Times New Roman"/>
                <w:sz w:val="24"/>
                <w:szCs w:val="20"/>
              </w:rPr>
            </w:pPr>
            <w:r>
              <w:rPr>
                <w:rFonts w:ascii="Times New Roman" w:eastAsia="仿宋" w:hAnsi="Times New Roman"/>
                <w:sz w:val="24"/>
                <w:szCs w:val="20"/>
              </w:rPr>
              <w:t>单位产品能耗</w:t>
            </w:r>
            <w:r>
              <w:rPr>
                <w:rFonts w:ascii="Times New Roman" w:eastAsia="仿宋" w:hAnsi="Times New Roman"/>
                <w:sz w:val="24"/>
                <w:szCs w:val="20"/>
              </w:rPr>
              <w:t>kgce/t</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优于广西区内平均水平</w:t>
            </w:r>
          </w:p>
        </w:tc>
        <w:tc>
          <w:tcPr>
            <w:tcW w:w="1054" w:type="dxa"/>
            <w:vMerge w:val="restart"/>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约束性</w:t>
            </w:r>
          </w:p>
        </w:tc>
      </w:tr>
      <w:tr w:rsidR="00D74912">
        <w:trPr>
          <w:trHeight w:val="397"/>
          <w:jc w:val="center"/>
        </w:trPr>
        <w:tc>
          <w:tcPr>
            <w:tcW w:w="1473" w:type="dxa"/>
            <w:vMerge/>
            <w:vAlign w:val="center"/>
          </w:tcPr>
          <w:p w:rsidR="00D74912" w:rsidRDefault="00D74912">
            <w:pPr>
              <w:spacing w:line="276" w:lineRule="auto"/>
              <w:rPr>
                <w:rFonts w:ascii="Times New Roman" w:eastAsia="仿宋" w:hAnsi="Times New Roman"/>
                <w:sz w:val="24"/>
                <w:szCs w:val="20"/>
              </w:rPr>
            </w:pPr>
          </w:p>
        </w:tc>
        <w:tc>
          <w:tcPr>
            <w:tcW w:w="1995" w:type="dxa"/>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生产水耗</w:t>
            </w:r>
            <w:r>
              <w:rPr>
                <w:rFonts w:ascii="Times New Roman" w:eastAsia="仿宋" w:hAnsi="Times New Roman"/>
                <w:sz w:val="24"/>
                <w:szCs w:val="20"/>
              </w:rPr>
              <w:t>m³/m³</w:t>
            </w:r>
          </w:p>
        </w:tc>
        <w:tc>
          <w:tcPr>
            <w:tcW w:w="1351" w:type="dxa"/>
            <w:vAlign w:val="center"/>
          </w:tcPr>
          <w:p w:rsidR="00D74912" w:rsidRDefault="00D74912">
            <w:pPr>
              <w:spacing w:line="276" w:lineRule="auto"/>
              <w:jc w:val="center"/>
              <w:rPr>
                <w:rFonts w:ascii="Times New Roman" w:eastAsia="仿宋" w:hAnsi="Times New Roman"/>
                <w:sz w:val="24"/>
                <w:szCs w:val="20"/>
              </w:rPr>
            </w:pP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优于广西区内平均水平</w:t>
            </w:r>
          </w:p>
        </w:tc>
        <w:tc>
          <w:tcPr>
            <w:tcW w:w="1054" w:type="dxa"/>
            <w:vMerge/>
            <w:vAlign w:val="center"/>
          </w:tcPr>
          <w:p w:rsidR="00D74912" w:rsidRDefault="00D74912">
            <w:pPr>
              <w:spacing w:line="276" w:lineRule="auto"/>
              <w:jc w:val="center"/>
              <w:rPr>
                <w:rFonts w:ascii="Times New Roman" w:eastAsia="仿宋" w:hAnsi="Times New Roman"/>
                <w:sz w:val="24"/>
                <w:szCs w:val="20"/>
              </w:rPr>
            </w:pPr>
          </w:p>
        </w:tc>
      </w:tr>
      <w:tr w:rsidR="00D74912">
        <w:trPr>
          <w:trHeight w:val="475"/>
          <w:jc w:val="center"/>
        </w:trPr>
        <w:tc>
          <w:tcPr>
            <w:tcW w:w="1473" w:type="dxa"/>
            <w:vMerge w:val="restart"/>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水泥制品</w:t>
            </w:r>
          </w:p>
        </w:tc>
        <w:tc>
          <w:tcPr>
            <w:tcW w:w="1995" w:type="dxa"/>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清洁化生产改造完成率</w:t>
            </w:r>
            <w:r>
              <w:rPr>
                <w:rFonts w:ascii="Times New Roman" w:eastAsia="仿宋" w:hAnsi="Times New Roman"/>
                <w:sz w:val="24"/>
                <w:szCs w:val="20"/>
              </w:rPr>
              <w:t>%</w:t>
            </w:r>
          </w:p>
        </w:tc>
        <w:tc>
          <w:tcPr>
            <w:tcW w:w="1351" w:type="dxa"/>
            <w:vMerge w:val="restart"/>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100</w:t>
            </w:r>
          </w:p>
        </w:tc>
        <w:tc>
          <w:tcPr>
            <w:tcW w:w="1054" w:type="dxa"/>
            <w:vMerge w:val="restart"/>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约束性</w:t>
            </w:r>
          </w:p>
        </w:tc>
      </w:tr>
      <w:tr w:rsidR="00D74912">
        <w:trPr>
          <w:trHeight w:val="475"/>
          <w:jc w:val="center"/>
        </w:trPr>
        <w:tc>
          <w:tcPr>
            <w:tcW w:w="1473" w:type="dxa"/>
            <w:vMerge/>
            <w:vAlign w:val="center"/>
          </w:tcPr>
          <w:p w:rsidR="00D74912" w:rsidRDefault="00D74912">
            <w:pPr>
              <w:spacing w:line="276" w:lineRule="auto"/>
              <w:rPr>
                <w:rFonts w:ascii="Times New Roman" w:eastAsia="仿宋" w:hAnsi="Times New Roman"/>
              </w:rPr>
            </w:pPr>
          </w:p>
        </w:tc>
        <w:tc>
          <w:tcPr>
            <w:tcW w:w="1995" w:type="dxa"/>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单位产品能耗</w:t>
            </w:r>
            <w:r>
              <w:rPr>
                <w:rFonts w:ascii="Times New Roman" w:eastAsia="仿宋" w:hAnsi="Times New Roman"/>
                <w:sz w:val="24"/>
                <w:szCs w:val="20"/>
              </w:rPr>
              <w:t>kgce/t</w:t>
            </w:r>
          </w:p>
        </w:tc>
        <w:tc>
          <w:tcPr>
            <w:tcW w:w="1351" w:type="dxa"/>
            <w:vMerge/>
            <w:vAlign w:val="center"/>
          </w:tcPr>
          <w:p w:rsidR="00D74912" w:rsidRDefault="00D74912">
            <w:pPr>
              <w:spacing w:line="276" w:lineRule="auto"/>
              <w:rPr>
                <w:rFonts w:ascii="Times New Roman" w:eastAsia="仿宋" w:hAnsi="Times New Roman"/>
                <w:sz w:val="24"/>
                <w:szCs w:val="20"/>
              </w:rPr>
            </w:pPr>
          </w:p>
        </w:tc>
        <w:tc>
          <w:tcPr>
            <w:tcW w:w="2644" w:type="dxa"/>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达到《水泥制品单位产品能源消耗限额》（</w:t>
            </w:r>
            <w:r>
              <w:rPr>
                <w:rFonts w:ascii="Times New Roman" w:eastAsia="仿宋" w:hAnsi="Times New Roman"/>
                <w:sz w:val="24"/>
                <w:szCs w:val="20"/>
              </w:rPr>
              <w:t>GB38263 — 2019</w:t>
            </w:r>
            <w:r>
              <w:rPr>
                <w:rFonts w:ascii="Times New Roman" w:eastAsia="仿宋" w:hAnsi="Times New Roman"/>
                <w:sz w:val="24"/>
                <w:szCs w:val="20"/>
              </w:rPr>
              <w:t>）三级能耗标准及以上</w:t>
            </w:r>
          </w:p>
        </w:tc>
        <w:tc>
          <w:tcPr>
            <w:tcW w:w="1054" w:type="dxa"/>
            <w:vMerge/>
            <w:vAlign w:val="center"/>
          </w:tcPr>
          <w:p w:rsidR="00D74912" w:rsidRDefault="00D74912">
            <w:pPr>
              <w:spacing w:line="276" w:lineRule="auto"/>
              <w:rPr>
                <w:rFonts w:ascii="Times New Roman" w:eastAsia="仿宋" w:hAnsi="Times New Roman"/>
                <w:sz w:val="24"/>
                <w:szCs w:val="20"/>
              </w:rPr>
            </w:pPr>
          </w:p>
        </w:tc>
      </w:tr>
      <w:tr w:rsidR="00D74912">
        <w:trPr>
          <w:trHeight w:val="475"/>
          <w:jc w:val="center"/>
        </w:trPr>
        <w:tc>
          <w:tcPr>
            <w:tcW w:w="1473" w:type="dxa"/>
            <w:vMerge/>
            <w:vAlign w:val="center"/>
          </w:tcPr>
          <w:p w:rsidR="00D74912" w:rsidRDefault="00D74912">
            <w:pPr>
              <w:spacing w:line="276" w:lineRule="auto"/>
              <w:rPr>
                <w:rFonts w:ascii="Times New Roman" w:eastAsia="仿宋" w:hAnsi="Times New Roman"/>
                <w:sz w:val="24"/>
                <w:szCs w:val="20"/>
              </w:rPr>
            </w:pPr>
          </w:p>
        </w:tc>
        <w:tc>
          <w:tcPr>
            <w:tcW w:w="1995" w:type="dxa"/>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生产水耗</w:t>
            </w:r>
            <w:r>
              <w:rPr>
                <w:rFonts w:ascii="Times New Roman" w:eastAsia="仿宋" w:hAnsi="Times New Roman"/>
                <w:sz w:val="24"/>
                <w:szCs w:val="20"/>
              </w:rPr>
              <w:t>m³/m³</w:t>
            </w:r>
          </w:p>
        </w:tc>
        <w:tc>
          <w:tcPr>
            <w:tcW w:w="1351" w:type="dxa"/>
            <w:vMerge/>
            <w:vAlign w:val="center"/>
          </w:tcPr>
          <w:p w:rsidR="00D74912" w:rsidRDefault="00D74912">
            <w:pPr>
              <w:spacing w:line="276" w:lineRule="auto"/>
              <w:rPr>
                <w:rFonts w:ascii="Times New Roman" w:eastAsia="仿宋" w:hAnsi="Times New Roman"/>
                <w:sz w:val="24"/>
                <w:szCs w:val="20"/>
              </w:rPr>
            </w:pPr>
          </w:p>
        </w:tc>
        <w:tc>
          <w:tcPr>
            <w:tcW w:w="2644" w:type="dxa"/>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优于《</w:t>
            </w:r>
            <w:hyperlink r:id="rId16" w:history="1">
              <w:r>
                <w:rPr>
                  <w:rFonts w:ascii="Times New Roman" w:eastAsia="仿宋" w:hAnsi="Times New Roman"/>
                  <w:sz w:val="24"/>
                  <w:szCs w:val="20"/>
                </w:rPr>
                <w:t>工业用水定额：预拌混凝土及水泥制品</w:t>
              </w:r>
            </w:hyperlink>
            <w:r>
              <w:rPr>
                <w:rFonts w:ascii="Times New Roman" w:eastAsia="仿宋" w:hAnsi="Times New Roman"/>
                <w:sz w:val="24"/>
                <w:szCs w:val="20"/>
              </w:rPr>
              <w:t>》（水节约〔</w:t>
            </w:r>
            <w:r>
              <w:rPr>
                <w:rFonts w:ascii="Times New Roman" w:eastAsia="仿宋" w:hAnsi="Times New Roman"/>
                <w:sz w:val="24"/>
                <w:szCs w:val="20"/>
              </w:rPr>
              <w:t>2020</w:t>
            </w:r>
            <w:r>
              <w:rPr>
                <w:rFonts w:ascii="Times New Roman" w:eastAsia="仿宋" w:hAnsi="Times New Roman"/>
                <w:sz w:val="24"/>
                <w:szCs w:val="20"/>
              </w:rPr>
              <w:t>〕</w:t>
            </w:r>
            <w:r>
              <w:rPr>
                <w:rFonts w:ascii="Times New Roman" w:eastAsia="仿宋" w:hAnsi="Times New Roman"/>
                <w:sz w:val="24"/>
                <w:szCs w:val="20"/>
              </w:rPr>
              <w:t>290</w:t>
            </w:r>
            <w:r>
              <w:rPr>
                <w:rFonts w:ascii="Times New Roman" w:eastAsia="仿宋" w:hAnsi="Times New Roman"/>
                <w:sz w:val="24"/>
                <w:szCs w:val="20"/>
              </w:rPr>
              <w:t>号）通用值水平</w:t>
            </w:r>
          </w:p>
        </w:tc>
        <w:tc>
          <w:tcPr>
            <w:tcW w:w="1054" w:type="dxa"/>
            <w:vMerge/>
            <w:vAlign w:val="center"/>
          </w:tcPr>
          <w:p w:rsidR="00D74912" w:rsidRDefault="00D74912">
            <w:pPr>
              <w:spacing w:line="276" w:lineRule="auto"/>
              <w:rPr>
                <w:rFonts w:ascii="Times New Roman" w:eastAsia="仿宋" w:hAnsi="Times New Roman"/>
                <w:sz w:val="24"/>
                <w:szCs w:val="20"/>
              </w:rPr>
            </w:pPr>
          </w:p>
        </w:tc>
      </w:tr>
      <w:tr w:rsidR="00D74912">
        <w:trPr>
          <w:trHeight w:val="391"/>
          <w:jc w:val="center"/>
        </w:trPr>
        <w:tc>
          <w:tcPr>
            <w:tcW w:w="8517" w:type="dxa"/>
            <w:gridSpan w:val="5"/>
            <w:vAlign w:val="center"/>
          </w:tcPr>
          <w:p w:rsidR="00D74912" w:rsidRDefault="00FE7708">
            <w:pPr>
              <w:spacing w:line="276" w:lineRule="auto"/>
              <w:jc w:val="left"/>
              <w:rPr>
                <w:rFonts w:ascii="Times New Roman" w:eastAsia="仿宋" w:hAnsi="Times New Roman"/>
                <w:b/>
                <w:sz w:val="24"/>
                <w:szCs w:val="20"/>
              </w:rPr>
            </w:pPr>
            <w:r>
              <w:rPr>
                <w:rFonts w:ascii="Times New Roman" w:eastAsia="仿宋" w:hAnsi="Times New Roman"/>
                <w:b/>
                <w:sz w:val="24"/>
                <w:szCs w:val="20"/>
              </w:rPr>
              <w:t>三、水泥制品提质增效目标</w:t>
            </w:r>
          </w:p>
        </w:tc>
      </w:tr>
      <w:tr w:rsidR="00D74912">
        <w:trPr>
          <w:trHeight w:val="391"/>
          <w:jc w:val="center"/>
        </w:trPr>
        <w:tc>
          <w:tcPr>
            <w:tcW w:w="3468" w:type="dxa"/>
            <w:gridSpan w:val="2"/>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规模以上企业占比（</w:t>
            </w:r>
            <w:r>
              <w:rPr>
                <w:rFonts w:ascii="Times New Roman" w:eastAsia="仿宋" w:hAnsi="Times New Roman"/>
                <w:sz w:val="24"/>
                <w:szCs w:val="20"/>
              </w:rPr>
              <w:t>%</w:t>
            </w:r>
            <w:r>
              <w:rPr>
                <w:rFonts w:ascii="Times New Roman" w:eastAsia="仿宋" w:hAnsi="Times New Roman"/>
                <w:sz w:val="24"/>
                <w:szCs w:val="20"/>
              </w:rPr>
              <w:t>）</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50</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tc>
      </w:tr>
      <w:tr w:rsidR="00D74912">
        <w:trPr>
          <w:trHeight w:val="391"/>
          <w:jc w:val="center"/>
        </w:trPr>
        <w:tc>
          <w:tcPr>
            <w:tcW w:w="3468" w:type="dxa"/>
            <w:gridSpan w:val="2"/>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培育或引进国内龙头企业（家）</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Cs w:val="20"/>
              </w:rPr>
            </w:pPr>
            <w:r>
              <w:rPr>
                <w:rFonts w:ascii="Times New Roman" w:eastAsia="仿宋" w:hAnsi="Times New Roman"/>
                <w:sz w:val="24"/>
                <w:szCs w:val="24"/>
              </w:rPr>
              <w:t>1</w:t>
            </w:r>
          </w:p>
        </w:tc>
        <w:tc>
          <w:tcPr>
            <w:tcW w:w="1054" w:type="dxa"/>
            <w:vAlign w:val="center"/>
          </w:tcPr>
          <w:p w:rsidR="00D74912" w:rsidRDefault="00FE7708">
            <w:pPr>
              <w:spacing w:line="276" w:lineRule="auto"/>
              <w:jc w:val="center"/>
              <w:rPr>
                <w:rFonts w:ascii="Times New Roman" w:eastAsia="仿宋" w:hAnsi="Times New Roman"/>
                <w:sz w:val="24"/>
                <w:szCs w:val="24"/>
              </w:rPr>
            </w:pPr>
            <w:r>
              <w:rPr>
                <w:rFonts w:ascii="Times New Roman" w:eastAsia="仿宋" w:hAnsi="Times New Roman"/>
                <w:sz w:val="24"/>
                <w:szCs w:val="24"/>
              </w:rPr>
              <w:t>预期性</w:t>
            </w:r>
          </w:p>
        </w:tc>
      </w:tr>
      <w:tr w:rsidR="00D74912">
        <w:trPr>
          <w:trHeight w:val="391"/>
          <w:jc w:val="center"/>
        </w:trPr>
        <w:tc>
          <w:tcPr>
            <w:tcW w:w="8517" w:type="dxa"/>
            <w:gridSpan w:val="5"/>
            <w:vAlign w:val="center"/>
          </w:tcPr>
          <w:p w:rsidR="00D74912" w:rsidRDefault="00FE7708">
            <w:pPr>
              <w:spacing w:line="276" w:lineRule="auto"/>
              <w:jc w:val="left"/>
              <w:rPr>
                <w:rFonts w:ascii="Times New Roman" w:eastAsia="仿宋" w:hAnsi="Times New Roman"/>
                <w:b/>
                <w:sz w:val="24"/>
                <w:szCs w:val="20"/>
              </w:rPr>
            </w:pPr>
            <w:r>
              <w:rPr>
                <w:rFonts w:ascii="Times New Roman" w:eastAsia="仿宋" w:hAnsi="Times New Roman"/>
                <w:b/>
                <w:sz w:val="24"/>
                <w:szCs w:val="20"/>
              </w:rPr>
              <w:t>四、先进制造发展目标</w:t>
            </w:r>
          </w:p>
        </w:tc>
      </w:tr>
      <w:tr w:rsidR="00D74912">
        <w:trPr>
          <w:trHeight w:val="391"/>
          <w:jc w:val="center"/>
        </w:trPr>
        <w:tc>
          <w:tcPr>
            <w:tcW w:w="3468" w:type="dxa"/>
            <w:gridSpan w:val="2"/>
            <w:vAlign w:val="center"/>
          </w:tcPr>
          <w:p w:rsidR="00D74912" w:rsidRDefault="00FE7708">
            <w:pPr>
              <w:spacing w:line="276" w:lineRule="auto"/>
              <w:rPr>
                <w:rFonts w:ascii="Times New Roman" w:eastAsia="仿宋" w:hAnsi="Times New Roman"/>
                <w:sz w:val="24"/>
                <w:szCs w:val="20"/>
              </w:rPr>
            </w:pPr>
            <w:r>
              <w:rPr>
                <w:rFonts w:ascii="Times New Roman" w:eastAsia="仿宋" w:hAnsi="Times New Roman"/>
                <w:sz w:val="24"/>
                <w:szCs w:val="20"/>
              </w:rPr>
              <w:t>打造智能制造示范工厂（家）</w:t>
            </w:r>
          </w:p>
        </w:tc>
        <w:tc>
          <w:tcPr>
            <w:tcW w:w="1351"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w:t>
            </w:r>
          </w:p>
        </w:tc>
        <w:tc>
          <w:tcPr>
            <w:tcW w:w="264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1</w:t>
            </w:r>
          </w:p>
        </w:tc>
        <w:tc>
          <w:tcPr>
            <w:tcW w:w="1054" w:type="dxa"/>
            <w:vAlign w:val="center"/>
          </w:tcPr>
          <w:p w:rsidR="00D74912" w:rsidRDefault="00FE7708">
            <w:pPr>
              <w:spacing w:line="276" w:lineRule="auto"/>
              <w:jc w:val="center"/>
              <w:rPr>
                <w:rFonts w:ascii="Times New Roman" w:eastAsia="仿宋" w:hAnsi="Times New Roman"/>
                <w:sz w:val="24"/>
                <w:szCs w:val="20"/>
              </w:rPr>
            </w:pPr>
            <w:r>
              <w:rPr>
                <w:rFonts w:ascii="Times New Roman" w:eastAsia="仿宋" w:hAnsi="Times New Roman"/>
                <w:sz w:val="24"/>
                <w:szCs w:val="20"/>
              </w:rPr>
              <w:t>预期性</w:t>
            </w:r>
          </w:p>
        </w:tc>
      </w:tr>
    </w:tbl>
    <w:p w:rsidR="00D74912" w:rsidRDefault="00D74912">
      <w:pPr>
        <w:rPr>
          <w:rFonts w:ascii="Times New Roman" w:eastAsia="仿宋" w:hAnsi="Times New Roman"/>
        </w:rPr>
      </w:pPr>
    </w:p>
    <w:p w:rsidR="00D74912" w:rsidRDefault="00FE7708">
      <w:pPr>
        <w:pStyle w:val="2"/>
        <w:ind w:left="0"/>
        <w:rPr>
          <w:rFonts w:ascii="Times New Roman" w:hAnsi="Times New Roman"/>
        </w:rPr>
      </w:pPr>
      <w:r>
        <w:rPr>
          <w:rFonts w:ascii="Times New Roman" w:hAnsi="Times New Roman" w:hint="eastAsia"/>
        </w:rPr>
        <w:t>（发展目标是否从工业发展的角度，增加产业发展规模等相关数据）</w:t>
      </w:r>
    </w:p>
    <w:p w:rsidR="00D74912" w:rsidRDefault="00D74912">
      <w:pPr>
        <w:pStyle w:val="2"/>
        <w:rPr>
          <w:rFonts w:ascii="Times New Roman" w:hAnsi="Times New Roman"/>
        </w:rPr>
        <w:sectPr w:rsidR="00D74912">
          <w:pgSz w:w="11906" w:h="16838"/>
          <w:pgMar w:top="1440" w:right="1800" w:bottom="1440" w:left="1800" w:header="851" w:footer="992" w:gutter="0"/>
          <w:cols w:space="425"/>
          <w:docGrid w:type="lines" w:linePitch="312"/>
        </w:sectPr>
      </w:pPr>
    </w:p>
    <w:p w:rsidR="00D74912" w:rsidRDefault="00D74912">
      <w:pPr>
        <w:rPr>
          <w:rFonts w:ascii="Times New Roman" w:hAnsi="Times New Roman"/>
        </w:rPr>
      </w:pPr>
    </w:p>
    <w:p w:rsidR="00D74912" w:rsidRDefault="00FE7708">
      <w:pPr>
        <w:pStyle w:val="2"/>
        <w:jc w:val="center"/>
        <w:outlineLvl w:val="0"/>
        <w:rPr>
          <w:rFonts w:ascii="Times New Roman" w:eastAsia="黑体" w:hAnsi="Times New Roman"/>
          <w:kern w:val="0"/>
          <w:sz w:val="36"/>
          <w:szCs w:val="36"/>
        </w:rPr>
      </w:pPr>
      <w:bookmarkStart w:id="101" w:name="_Toc18964"/>
      <w:bookmarkStart w:id="102" w:name="_Toc1039"/>
      <w:bookmarkStart w:id="103" w:name="_Toc26486"/>
      <w:bookmarkStart w:id="104" w:name="_Toc89203788"/>
      <w:r>
        <w:rPr>
          <w:rFonts w:ascii="Times New Roman" w:eastAsia="黑体" w:hAnsi="Times New Roman"/>
          <w:kern w:val="0"/>
          <w:sz w:val="36"/>
          <w:szCs w:val="36"/>
        </w:rPr>
        <w:t>第四章</w:t>
      </w:r>
      <w:r>
        <w:rPr>
          <w:rFonts w:ascii="Times New Roman" w:eastAsia="黑体" w:hAnsi="Times New Roman"/>
          <w:kern w:val="0"/>
          <w:sz w:val="36"/>
          <w:szCs w:val="36"/>
        </w:rPr>
        <w:t xml:space="preserve"> </w:t>
      </w:r>
      <w:r>
        <w:rPr>
          <w:rFonts w:ascii="Times New Roman" w:eastAsia="黑体" w:hAnsi="Times New Roman"/>
          <w:kern w:val="0"/>
          <w:sz w:val="36"/>
          <w:szCs w:val="36"/>
        </w:rPr>
        <w:t>重点任务</w:t>
      </w:r>
      <w:bookmarkEnd w:id="101"/>
      <w:bookmarkEnd w:id="102"/>
      <w:bookmarkEnd w:id="103"/>
      <w:bookmarkEnd w:id="104"/>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105" w:name="_Toc17157"/>
      <w:bookmarkStart w:id="106" w:name="_Toc8582"/>
      <w:bookmarkStart w:id="107" w:name="_Toc30100"/>
      <w:bookmarkStart w:id="108" w:name="_Toc590"/>
      <w:bookmarkStart w:id="109" w:name="_Toc9918"/>
      <w:bookmarkStart w:id="110" w:name="_Toc89203789"/>
      <w:bookmarkStart w:id="111" w:name="_Toc24585"/>
      <w:bookmarkStart w:id="112" w:name="_Toc2799"/>
      <w:bookmarkStart w:id="113" w:name="_Toc8434"/>
      <w:bookmarkStart w:id="114" w:name="_Toc17646"/>
      <w:bookmarkStart w:id="115" w:name="_Toc11206"/>
      <w:bookmarkStart w:id="116" w:name="_Toc9760"/>
      <w:bookmarkStart w:id="117" w:name="_Toc29440"/>
      <w:bookmarkStart w:id="118" w:name="_Toc4909"/>
      <w:bookmarkStart w:id="119" w:name="_Toc12814"/>
      <w:r>
        <w:rPr>
          <w:rFonts w:ascii="Times New Roman" w:eastAsia="黑体" w:hAnsi="Times New Roman"/>
          <w:bCs/>
          <w:sz w:val="32"/>
          <w:szCs w:val="26"/>
        </w:rPr>
        <w:t>一、优化布局，加快预拌混凝土转型升级</w:t>
      </w:r>
      <w:bookmarkEnd w:id="105"/>
      <w:bookmarkEnd w:id="106"/>
      <w:bookmarkEnd w:id="107"/>
      <w:bookmarkEnd w:id="108"/>
      <w:bookmarkEnd w:id="109"/>
      <w:bookmarkEnd w:id="110"/>
      <w:bookmarkEnd w:id="111"/>
      <w:bookmarkEnd w:id="112"/>
      <w:r>
        <w:rPr>
          <w:rFonts w:ascii="Times New Roman" w:eastAsia="黑体" w:hAnsi="Times New Roman"/>
          <w:bCs/>
          <w:sz w:val="32"/>
          <w:szCs w:val="26"/>
        </w:rPr>
        <w:t>发展</w:t>
      </w:r>
      <w:bookmarkEnd w:id="113"/>
      <w:bookmarkEnd w:id="114"/>
      <w:bookmarkEnd w:id="115"/>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20" w:name="_Toc89203790"/>
      <w:bookmarkStart w:id="121" w:name="_Toc21849"/>
      <w:r>
        <w:rPr>
          <w:rFonts w:ascii="Times New Roman" w:eastAsia="楷体" w:hAnsi="Times New Roman"/>
          <w:b/>
          <w:sz w:val="32"/>
          <w:szCs w:val="27"/>
        </w:rPr>
        <w:t>（一）优化预拌混凝土产能布局</w:t>
      </w:r>
      <w:bookmarkEnd w:id="120"/>
      <w:bookmarkEnd w:id="121"/>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以市场为导向，合理布局预拌混凝土产能，产能充分辐射乡镇农村市场，助推预拌混凝土乡镇农村应用，积极化解局部地区产能利用率过低导致的恶性竞争风险。鼓励产能利用率过低区域的搅拌站进行异地搬迁，在符合规划布局前提下，向市场供不应求区域或乡镇农村市场转移。</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22" w:name="_Toc30254"/>
      <w:bookmarkStart w:id="123" w:name="_Toc89203791"/>
      <w:r>
        <w:rPr>
          <w:rFonts w:ascii="Times New Roman" w:eastAsia="楷体" w:hAnsi="Times New Roman"/>
          <w:b/>
          <w:sz w:val="32"/>
          <w:szCs w:val="27"/>
        </w:rPr>
        <w:t>（二）加快产业转型升级</w:t>
      </w:r>
      <w:bookmarkEnd w:id="122"/>
      <w:bookmarkEnd w:id="123"/>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依法依规整治不达标产能，强化依法行政和标准实施，对经整改达不到环保、能耗、安全、质量等强制性标准要求的产能，依法有序关停退出，加快推进预拌混凝土企业从规模式粗放增长向环境友好型、资源节约型、绿色循环产业转型。鼓励企业进行装备与技术的改造和提升，改进生产工艺，以满足不同工程对不同性能混凝土的需求；引导企业利用现有条件和资源，延伸产业链，上游向砂石骨料业、掺合料产业，下游向水泥部品构件等方向发展；加快提升产品档次和产品品质，淘汰落后工艺技术，倒逼落后产能退出，推动行业由中低端向中高端发展。鼓励企业通过兼并重组等方式做强做大，引导行业理性投资；培育大企业集团，推动行业规模化、集约化发展。</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24" w:name="_Toc89203792"/>
      <w:bookmarkStart w:id="125" w:name="_Toc6060"/>
      <w:r>
        <w:rPr>
          <w:rFonts w:ascii="Times New Roman" w:eastAsia="楷体" w:hAnsi="Times New Roman"/>
          <w:b/>
          <w:sz w:val="32"/>
          <w:szCs w:val="27"/>
        </w:rPr>
        <w:t>（三）建立长效管理机制</w:t>
      </w:r>
      <w:bookmarkEnd w:id="124"/>
      <w:bookmarkEnd w:id="125"/>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lastRenderedPageBreak/>
        <w:t>制定预拌混凝土生产、销售和使用长效管理机制，保障预拌混凝土生产和使用的健康、可持续发展。加强预拌混凝土企业资质管理，加大技术人员培养力度，强化试验室质量管理，保障预拌混凝土产品质量；依法依规保持对证照不全非法生产经营违法行为核查打击的高压态势，落实落细相关责任，坚决杜绝地方保护主义，保障预拌混凝土企业专项整治成效，淘汰落后产能，持续优化市场环境，维护企业合法权益，保护人居环境、保障建设质量。</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126" w:name="_Toc18932"/>
      <w:bookmarkStart w:id="127" w:name="_Toc5998"/>
      <w:bookmarkStart w:id="128" w:name="_Toc17566"/>
      <w:bookmarkStart w:id="129" w:name="_Toc3091"/>
      <w:bookmarkStart w:id="130" w:name="_Toc21332"/>
      <w:bookmarkStart w:id="131" w:name="_Toc8868"/>
      <w:bookmarkStart w:id="132" w:name="_Toc6637"/>
      <w:bookmarkStart w:id="133" w:name="_Toc11674"/>
      <w:bookmarkStart w:id="134" w:name="_Toc7883"/>
      <w:bookmarkStart w:id="135" w:name="_Toc20194"/>
      <w:bookmarkStart w:id="136" w:name="_Toc89203793"/>
      <w:r>
        <w:rPr>
          <w:rFonts w:ascii="Times New Roman" w:eastAsia="黑体" w:hAnsi="Times New Roman"/>
          <w:bCs/>
          <w:sz w:val="32"/>
          <w:szCs w:val="26"/>
        </w:rPr>
        <w:t>二、科学规划，</w:t>
      </w:r>
      <w:r>
        <w:rPr>
          <w:rFonts w:ascii="Times New Roman" w:eastAsia="黑体" w:hAnsi="Times New Roman"/>
          <w:bCs/>
          <w:color w:val="000000" w:themeColor="text1"/>
          <w:sz w:val="32"/>
          <w:szCs w:val="26"/>
        </w:rPr>
        <w:t>推动预拌砂浆快速发展</w:t>
      </w:r>
      <w:bookmarkEnd w:id="126"/>
      <w:bookmarkEnd w:id="127"/>
      <w:bookmarkEnd w:id="128"/>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37" w:name="_Toc18159"/>
      <w:bookmarkStart w:id="138" w:name="_Toc89203794"/>
      <w:bookmarkEnd w:id="116"/>
      <w:bookmarkEnd w:id="129"/>
      <w:bookmarkEnd w:id="130"/>
      <w:bookmarkEnd w:id="131"/>
      <w:bookmarkEnd w:id="132"/>
      <w:bookmarkEnd w:id="133"/>
      <w:bookmarkEnd w:id="134"/>
      <w:bookmarkEnd w:id="135"/>
      <w:bookmarkEnd w:id="136"/>
      <w:r>
        <w:rPr>
          <w:rFonts w:ascii="Times New Roman" w:eastAsia="楷体" w:hAnsi="Times New Roman"/>
          <w:b/>
          <w:sz w:val="32"/>
          <w:szCs w:val="27"/>
        </w:rPr>
        <w:t>（一）科学规划、示范先行</w:t>
      </w:r>
      <w:bookmarkEnd w:id="137"/>
      <w:bookmarkEnd w:id="138"/>
    </w:p>
    <w:p w:rsidR="00D74912" w:rsidRDefault="00FE7708">
      <w:pPr>
        <w:widowControl/>
        <w:adjustRightInd w:val="0"/>
        <w:snapToGrid w:val="0"/>
        <w:spacing w:line="360" w:lineRule="auto"/>
        <w:ind w:firstLineChars="200" w:firstLine="640"/>
        <w:jc w:val="left"/>
        <w:rPr>
          <w:rFonts w:ascii="Times New Roman" w:eastAsia="仿宋" w:hAnsi="Times New Roman"/>
          <w:sz w:val="32"/>
          <w:szCs w:val="32"/>
        </w:rPr>
      </w:pPr>
      <w:r>
        <w:rPr>
          <w:rFonts w:ascii="Times New Roman" w:eastAsia="仿宋" w:hAnsi="Times New Roman"/>
          <w:sz w:val="32"/>
          <w:szCs w:val="32"/>
        </w:rPr>
        <w:t>1.</w:t>
      </w:r>
      <w:r>
        <w:rPr>
          <w:rFonts w:ascii="Times New Roman" w:eastAsia="仿宋" w:hAnsi="Times New Roman"/>
          <w:sz w:val="32"/>
          <w:szCs w:val="32"/>
        </w:rPr>
        <w:t>科学规划，分步实施。围绕钦州市经济发展现状、区域周边环境、交通运输、产业基础和资源等条件，以市场需求和产能利用率两项指标进行综合考量，做好预拌砂浆生产线布局工作。积极融入粤港澳大湾区、西部陆海新通道建设，丰富产品种类和功能，分步实施、稳步推进、立足全局、着眼长远，避免出现利益驱动而盲目发展、恶性竞争的局面。鼓励预拌混凝土产能利用率过低区域生产线改造转产预拌砂浆，有步骤地推进预拌砂浆企业建设，同时加强对预拌砂浆生产、产品运输的检查监督执法，确保预拌砂浆行业发展各环节的安全、环保、质量可靠。鼓励发展符合绿色建筑、海绵城市建设和装配式建筑发展需求的专用砂浆；鼓励预拌</w:t>
      </w:r>
      <w:r>
        <w:rPr>
          <w:rFonts w:ascii="Times New Roman" w:eastAsia="仿宋" w:hAnsi="Times New Roman"/>
          <w:sz w:val="32"/>
          <w:szCs w:val="32"/>
        </w:rPr>
        <w:lastRenderedPageBreak/>
        <w:t>砂浆生产企业因地制宜利用工业废渣、城市建筑垃圾等再生原料生产；推广机械化施工技术，鼓励发展机喷砂浆。</w:t>
      </w:r>
    </w:p>
    <w:p w:rsidR="00D74912" w:rsidRDefault="00FE7708">
      <w:pPr>
        <w:widowControl/>
        <w:adjustRightInd w:val="0"/>
        <w:snapToGrid w:val="0"/>
        <w:spacing w:line="360" w:lineRule="auto"/>
        <w:ind w:firstLineChars="200" w:firstLine="640"/>
        <w:jc w:val="left"/>
        <w:rPr>
          <w:rFonts w:ascii="Times New Roman" w:eastAsia="仿宋" w:hAnsi="Times New Roman"/>
          <w:sz w:val="32"/>
          <w:szCs w:val="32"/>
        </w:rPr>
      </w:pPr>
      <w:r>
        <w:rPr>
          <w:rFonts w:ascii="Times New Roman" w:eastAsia="仿宋" w:hAnsi="Times New Roman"/>
          <w:sz w:val="32"/>
          <w:szCs w:val="32"/>
        </w:rPr>
        <w:t>2.</w:t>
      </w:r>
      <w:r>
        <w:rPr>
          <w:rFonts w:ascii="Times New Roman" w:eastAsia="仿宋" w:hAnsi="Times New Roman"/>
          <w:sz w:val="32"/>
          <w:szCs w:val="32"/>
        </w:rPr>
        <w:t>加强宣传与示范推广。围绕预拌砂浆的性能特点、经济效益、社会效益，利用多种渠道进行广泛地宣传，转变社会对预拌砂浆的认识，逐步扩大使用预拌砂浆的区域范围和领域，提高预拌砂浆使用率；以政府建设项目、使用财政资金的项目、保障房项目、重点公共设施项目、大型建设项目为切入点，建立推广预拌砂浆应用示范工程。</w:t>
      </w:r>
    </w:p>
    <w:p w:rsidR="00D74912" w:rsidRDefault="00FE7708">
      <w:pPr>
        <w:widowControl/>
        <w:adjustRightInd w:val="0"/>
        <w:snapToGrid w:val="0"/>
        <w:spacing w:line="360" w:lineRule="auto"/>
        <w:ind w:firstLineChars="200" w:firstLine="643"/>
        <w:jc w:val="left"/>
        <w:outlineLvl w:val="2"/>
        <w:rPr>
          <w:rFonts w:ascii="Times New Roman" w:eastAsia="仿宋_GB2312" w:hAnsi="Times New Roman"/>
          <w:sz w:val="32"/>
          <w:szCs w:val="32"/>
        </w:rPr>
      </w:pPr>
      <w:bookmarkStart w:id="139" w:name="_Toc89203795"/>
      <w:bookmarkStart w:id="140" w:name="_Toc11467"/>
      <w:r>
        <w:rPr>
          <w:rFonts w:ascii="Times New Roman" w:eastAsia="楷体" w:hAnsi="Times New Roman"/>
          <w:b/>
          <w:sz w:val="32"/>
          <w:szCs w:val="27"/>
        </w:rPr>
        <w:t>（二）坚持政策导向，提升行业信心</w:t>
      </w:r>
      <w:bookmarkEnd w:id="139"/>
    </w:p>
    <w:p w:rsidR="00D74912" w:rsidRDefault="00FE7708">
      <w:pPr>
        <w:widowControl/>
        <w:adjustRightInd w:val="0"/>
        <w:snapToGrid w:val="0"/>
        <w:spacing w:line="360" w:lineRule="auto"/>
        <w:ind w:firstLineChars="200" w:firstLine="640"/>
        <w:jc w:val="left"/>
        <w:rPr>
          <w:rFonts w:ascii="Times New Roman" w:eastAsia="仿宋" w:hAnsi="Times New Roman"/>
          <w:sz w:val="32"/>
          <w:szCs w:val="32"/>
        </w:rPr>
      </w:pPr>
      <w:r>
        <w:rPr>
          <w:rFonts w:ascii="Times New Roman" w:eastAsia="仿宋" w:hAnsi="Times New Roman"/>
          <w:sz w:val="32"/>
          <w:szCs w:val="32"/>
        </w:rPr>
        <w:t>结合钦州市预拌砂浆企业发展实际，适时启动砂浆</w:t>
      </w:r>
      <w:r>
        <w:rPr>
          <w:rFonts w:ascii="Times New Roman" w:eastAsia="仿宋" w:hAnsi="Times New Roman"/>
          <w:sz w:val="32"/>
          <w:szCs w:val="32"/>
        </w:rPr>
        <w:t>“</w:t>
      </w:r>
      <w:r>
        <w:rPr>
          <w:rFonts w:ascii="Times New Roman" w:eastAsia="仿宋" w:hAnsi="Times New Roman"/>
          <w:sz w:val="32"/>
          <w:szCs w:val="32"/>
        </w:rPr>
        <w:t>禁现</w:t>
      </w:r>
      <w:r>
        <w:rPr>
          <w:rFonts w:ascii="Times New Roman" w:eastAsia="仿宋" w:hAnsi="Times New Roman"/>
          <w:sz w:val="32"/>
          <w:szCs w:val="32"/>
        </w:rPr>
        <w:t>”</w:t>
      </w:r>
      <w:r>
        <w:rPr>
          <w:rFonts w:ascii="Times New Roman" w:eastAsia="仿宋" w:hAnsi="Times New Roman"/>
          <w:sz w:val="32"/>
          <w:szCs w:val="32"/>
        </w:rPr>
        <w:t>工作，贯彻落实国家、自治区有关禁止使用现场搅拌砂浆政策和规定，加大推广应用力度，积极推进全市砂浆</w:t>
      </w:r>
      <w:r>
        <w:rPr>
          <w:rFonts w:ascii="Times New Roman" w:eastAsia="仿宋" w:hAnsi="Times New Roman"/>
          <w:sz w:val="32"/>
          <w:szCs w:val="32"/>
        </w:rPr>
        <w:t>“</w:t>
      </w:r>
      <w:r>
        <w:rPr>
          <w:rFonts w:ascii="Times New Roman" w:eastAsia="仿宋" w:hAnsi="Times New Roman"/>
          <w:sz w:val="32"/>
          <w:szCs w:val="32"/>
        </w:rPr>
        <w:t>禁现</w:t>
      </w:r>
      <w:r>
        <w:rPr>
          <w:rFonts w:ascii="Times New Roman" w:eastAsia="仿宋" w:hAnsi="Times New Roman"/>
          <w:sz w:val="32"/>
          <w:szCs w:val="32"/>
        </w:rPr>
        <w:t>”</w:t>
      </w:r>
      <w:r>
        <w:rPr>
          <w:rFonts w:ascii="Times New Roman" w:eastAsia="仿宋" w:hAnsi="Times New Roman"/>
          <w:sz w:val="32"/>
          <w:szCs w:val="32"/>
        </w:rPr>
        <w:t>进程。规划期内加快出台砂浆</w:t>
      </w:r>
      <w:r>
        <w:rPr>
          <w:rFonts w:ascii="Times New Roman" w:eastAsia="仿宋" w:hAnsi="Times New Roman"/>
          <w:sz w:val="32"/>
          <w:szCs w:val="32"/>
        </w:rPr>
        <w:t>“</w:t>
      </w:r>
      <w:r>
        <w:rPr>
          <w:rFonts w:ascii="Times New Roman" w:eastAsia="仿宋" w:hAnsi="Times New Roman"/>
          <w:sz w:val="32"/>
          <w:szCs w:val="32"/>
        </w:rPr>
        <w:t>禁现</w:t>
      </w:r>
      <w:r>
        <w:rPr>
          <w:rFonts w:ascii="Times New Roman" w:eastAsia="仿宋" w:hAnsi="Times New Roman"/>
          <w:sz w:val="32"/>
          <w:szCs w:val="32"/>
        </w:rPr>
        <w:t>”</w:t>
      </w:r>
      <w:r>
        <w:rPr>
          <w:rFonts w:ascii="Times New Roman" w:eastAsia="仿宋" w:hAnsi="Times New Roman"/>
          <w:sz w:val="32"/>
          <w:szCs w:val="32"/>
        </w:rPr>
        <w:t>政策，明确砂浆</w:t>
      </w:r>
      <w:r>
        <w:rPr>
          <w:rFonts w:ascii="Times New Roman" w:eastAsia="仿宋" w:hAnsi="Times New Roman"/>
          <w:sz w:val="32"/>
          <w:szCs w:val="32"/>
        </w:rPr>
        <w:t>“</w:t>
      </w:r>
      <w:r>
        <w:rPr>
          <w:rFonts w:ascii="Times New Roman" w:eastAsia="仿宋" w:hAnsi="Times New Roman"/>
          <w:sz w:val="32"/>
          <w:szCs w:val="32"/>
        </w:rPr>
        <w:t>禁现</w:t>
      </w:r>
      <w:r>
        <w:rPr>
          <w:rFonts w:ascii="Times New Roman" w:eastAsia="仿宋" w:hAnsi="Times New Roman"/>
          <w:sz w:val="32"/>
          <w:szCs w:val="32"/>
        </w:rPr>
        <w:t>”</w:t>
      </w:r>
      <w:r>
        <w:rPr>
          <w:rFonts w:ascii="Times New Roman" w:eastAsia="仿宋" w:hAnsi="Times New Roman"/>
          <w:sz w:val="32"/>
          <w:szCs w:val="32"/>
        </w:rPr>
        <w:t>区域与覆盖范围，并由城市向城镇农村逐年扩展砂浆</w:t>
      </w:r>
      <w:r>
        <w:rPr>
          <w:rFonts w:ascii="Times New Roman" w:eastAsia="仿宋" w:hAnsi="Times New Roman"/>
          <w:sz w:val="32"/>
          <w:szCs w:val="32"/>
        </w:rPr>
        <w:t>“</w:t>
      </w:r>
      <w:r>
        <w:rPr>
          <w:rFonts w:ascii="Times New Roman" w:eastAsia="仿宋" w:hAnsi="Times New Roman"/>
          <w:sz w:val="32"/>
          <w:szCs w:val="32"/>
        </w:rPr>
        <w:t>禁现</w:t>
      </w:r>
      <w:r>
        <w:rPr>
          <w:rFonts w:ascii="Times New Roman" w:eastAsia="仿宋" w:hAnsi="Times New Roman"/>
          <w:sz w:val="32"/>
          <w:szCs w:val="32"/>
        </w:rPr>
        <w:t>”</w:t>
      </w:r>
      <w:r>
        <w:rPr>
          <w:rFonts w:ascii="Times New Roman" w:eastAsia="仿宋" w:hAnsi="Times New Roman"/>
          <w:sz w:val="32"/>
          <w:szCs w:val="32"/>
        </w:rPr>
        <w:t>区域范围。同时完善相关配套政策，加大政策供给，出台奖惩管理办法，充分发挥政策引导作用，提升行业信心，激发市场活力。</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41" w:name="_Toc89203796"/>
      <w:r>
        <w:rPr>
          <w:rFonts w:ascii="Times New Roman" w:eastAsia="楷体" w:hAnsi="Times New Roman"/>
          <w:b/>
          <w:sz w:val="32"/>
          <w:szCs w:val="27"/>
        </w:rPr>
        <w:t>（三）加强规范管理，创新发展模式</w:t>
      </w:r>
      <w:bookmarkEnd w:id="140"/>
      <w:bookmarkEnd w:id="141"/>
    </w:p>
    <w:p w:rsidR="00D74912" w:rsidRDefault="00FE7708">
      <w:pPr>
        <w:widowControl/>
        <w:adjustRightInd w:val="0"/>
        <w:snapToGrid w:val="0"/>
        <w:spacing w:line="360" w:lineRule="auto"/>
        <w:ind w:firstLineChars="200" w:firstLine="640"/>
        <w:jc w:val="left"/>
        <w:rPr>
          <w:rFonts w:ascii="Times New Roman" w:eastAsia="仿宋" w:hAnsi="Times New Roman"/>
          <w:sz w:val="32"/>
          <w:szCs w:val="32"/>
        </w:rPr>
      </w:pPr>
      <w:r>
        <w:rPr>
          <w:rFonts w:ascii="Times New Roman" w:eastAsia="仿宋" w:hAnsi="Times New Roman"/>
          <w:sz w:val="32"/>
          <w:szCs w:val="32"/>
        </w:rPr>
        <w:t>制定预拌砂浆行业发展规范条件，加强准入管理，着力打好</w:t>
      </w:r>
      <w:r>
        <w:rPr>
          <w:rFonts w:ascii="Times New Roman" w:eastAsia="仿宋" w:hAnsi="Times New Roman"/>
          <w:sz w:val="32"/>
          <w:szCs w:val="32"/>
        </w:rPr>
        <w:t>“</w:t>
      </w:r>
      <w:r>
        <w:rPr>
          <w:rFonts w:ascii="Times New Roman" w:eastAsia="仿宋" w:hAnsi="Times New Roman"/>
          <w:sz w:val="32"/>
          <w:szCs w:val="32"/>
        </w:rPr>
        <w:t>绿色牌</w:t>
      </w:r>
      <w:r>
        <w:rPr>
          <w:rFonts w:ascii="Times New Roman" w:eastAsia="仿宋" w:hAnsi="Times New Roman"/>
          <w:sz w:val="32"/>
          <w:szCs w:val="32"/>
        </w:rPr>
        <w:t>”</w:t>
      </w:r>
      <w:r>
        <w:rPr>
          <w:rFonts w:ascii="Times New Roman" w:eastAsia="仿宋" w:hAnsi="Times New Roman"/>
          <w:sz w:val="32"/>
          <w:szCs w:val="32"/>
        </w:rPr>
        <w:t>，符合规划布点和绿色生产要求的项目方允许建设；鼓励新建预拌砂浆企业加大研发技改投入，在满足产品性能的前提下，积极应用新材料、新技术，提高资源综合</w:t>
      </w:r>
      <w:r>
        <w:rPr>
          <w:rFonts w:ascii="Times New Roman" w:eastAsia="仿宋" w:hAnsi="Times New Roman"/>
          <w:sz w:val="32"/>
          <w:szCs w:val="32"/>
        </w:rPr>
        <w:lastRenderedPageBreak/>
        <w:t>利用率，提升行业发展后劲。落实落细砂浆质量责任管理措施，创新预拌砂浆发展模式，鼓励预拌砂浆生产企业开展</w:t>
      </w:r>
      <w:r>
        <w:rPr>
          <w:rFonts w:ascii="Times New Roman" w:eastAsia="仿宋" w:hAnsi="Times New Roman"/>
          <w:sz w:val="32"/>
          <w:szCs w:val="32"/>
        </w:rPr>
        <w:t>“</w:t>
      </w:r>
      <w:r>
        <w:rPr>
          <w:rFonts w:ascii="Times New Roman" w:eastAsia="仿宋" w:hAnsi="Times New Roman"/>
          <w:sz w:val="32"/>
          <w:szCs w:val="32"/>
        </w:rPr>
        <w:t>生产施工一体化</w:t>
      </w:r>
      <w:r>
        <w:rPr>
          <w:rFonts w:ascii="Times New Roman" w:eastAsia="仿宋" w:hAnsi="Times New Roman"/>
          <w:sz w:val="32"/>
          <w:szCs w:val="32"/>
        </w:rPr>
        <w:t>”</w:t>
      </w:r>
      <w:r>
        <w:rPr>
          <w:rFonts w:ascii="Times New Roman" w:eastAsia="仿宋" w:hAnsi="Times New Roman"/>
          <w:sz w:val="32"/>
          <w:szCs w:val="32"/>
        </w:rPr>
        <w:t>服务。</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142" w:name="_Toc23549"/>
      <w:bookmarkStart w:id="143" w:name="_Toc7539"/>
      <w:bookmarkStart w:id="144" w:name="_Toc17165"/>
      <w:bookmarkStart w:id="145" w:name="_Toc19812"/>
      <w:bookmarkStart w:id="146" w:name="_Toc21223"/>
      <w:bookmarkStart w:id="147" w:name="_Toc5714"/>
      <w:bookmarkStart w:id="148" w:name="_Toc89203797"/>
      <w:bookmarkStart w:id="149" w:name="_Toc18722"/>
      <w:bookmarkStart w:id="150" w:name="_Toc2584"/>
      <w:bookmarkStart w:id="151" w:name="_Toc19483"/>
      <w:bookmarkStart w:id="152" w:name="_Toc1591"/>
      <w:bookmarkStart w:id="153" w:name="_Toc6791"/>
      <w:r>
        <w:rPr>
          <w:rFonts w:ascii="Times New Roman" w:eastAsia="黑体" w:hAnsi="Times New Roman"/>
          <w:bCs/>
          <w:sz w:val="32"/>
          <w:szCs w:val="26"/>
        </w:rPr>
        <w:t>三、培育新动能，开拓和规范乡镇农村市场</w:t>
      </w:r>
      <w:bookmarkEnd w:id="142"/>
      <w:bookmarkEnd w:id="143"/>
      <w:bookmarkEnd w:id="144"/>
      <w:bookmarkEnd w:id="145"/>
      <w:bookmarkEnd w:id="146"/>
      <w:bookmarkEnd w:id="147"/>
      <w:bookmarkEnd w:id="148"/>
      <w:bookmarkEnd w:id="149"/>
      <w:bookmarkEnd w:id="150"/>
      <w:bookmarkEnd w:id="151"/>
      <w:bookmarkEnd w:id="152"/>
      <w:bookmarkEnd w:id="153"/>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54" w:name="_Toc89203798"/>
      <w:bookmarkStart w:id="155" w:name="_Toc30148"/>
      <w:r>
        <w:rPr>
          <w:rFonts w:ascii="Times New Roman" w:eastAsia="楷体" w:hAnsi="Times New Roman"/>
          <w:b/>
          <w:sz w:val="32"/>
          <w:szCs w:val="27"/>
        </w:rPr>
        <w:t>（一）积极引导，实施试点示范</w:t>
      </w:r>
      <w:bookmarkEnd w:id="154"/>
      <w:bookmarkEnd w:id="155"/>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引导开拓预拌混凝土、预拌砂浆乡镇农村市场。结合新农村建设、乡村振兴、新型城镇化建设重点，以政府主导的新农村基础设施建设、移民搬迁安置、农村危旧房改造、农村公路升级建设、危桥改造、乡村联网公路、老旧县乡油路改造、农田水利设施建设等建设工程项目为切入点，引导预拌混凝土企业向乡镇农村供应预拌混凝土，积极开拓农村市场。</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推行预拌混凝土、预拌砂浆下乡试点。实施预拌混凝土、预拌砂浆下乡试点工作，鼓励农户建房使用预拌混凝土、预拌砂浆；探索农村散装水泥应用新模式，鼓励生产企业采取直供销售方式，减少流通环节，满足农村市场需求，逐步建立农村预拌混凝土、预拌砂浆供应服务体系。</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56" w:name="_Toc5452"/>
      <w:bookmarkStart w:id="157" w:name="_Toc89203799"/>
      <w:r>
        <w:rPr>
          <w:rFonts w:ascii="Times New Roman" w:eastAsia="楷体" w:hAnsi="Times New Roman"/>
          <w:b/>
          <w:sz w:val="32"/>
          <w:szCs w:val="27"/>
        </w:rPr>
        <w:t>（二）发展特色产品，实施差异化管理</w:t>
      </w:r>
      <w:bookmarkEnd w:id="156"/>
      <w:bookmarkEnd w:id="157"/>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鼓励企业积极研制开发和生产供应符合新农村建设发展需要的预拌混凝土、预拌砂浆及水泥制品等特色产品。制定落实相关标准及规范条件等指导乡镇市场使用预拌混凝土、预拌砂浆及水泥制品的生产、使用和监管，实行差异化</w:t>
      </w:r>
      <w:r>
        <w:rPr>
          <w:rFonts w:ascii="Times New Roman" w:eastAsia="仿宋" w:hAnsi="Times New Roman"/>
          <w:kern w:val="0"/>
          <w:sz w:val="32"/>
          <w:szCs w:val="32"/>
        </w:rPr>
        <w:lastRenderedPageBreak/>
        <w:t>管理。鼓励配置适合农村道路、施工条件的运输车辆和泵送等设备，乡镇预拌混凝土企业需规范混凝土配比设计、产品检测等质量管理。</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158" w:name="_Toc15711"/>
      <w:bookmarkStart w:id="159" w:name="_Toc32235"/>
      <w:bookmarkStart w:id="160" w:name="_Toc11691"/>
      <w:bookmarkStart w:id="161" w:name="_Toc89203800"/>
      <w:bookmarkStart w:id="162" w:name="_Toc15080"/>
      <w:bookmarkStart w:id="163" w:name="_Toc2487"/>
      <w:bookmarkStart w:id="164" w:name="_Toc8189"/>
      <w:bookmarkStart w:id="165" w:name="_Toc8922"/>
      <w:bookmarkStart w:id="166" w:name="_Toc32399"/>
      <w:bookmarkStart w:id="167" w:name="_Toc1871"/>
      <w:bookmarkStart w:id="168" w:name="_Toc26348"/>
      <w:bookmarkStart w:id="169" w:name="_Toc17553"/>
      <w:bookmarkEnd w:id="117"/>
      <w:bookmarkEnd w:id="118"/>
      <w:bookmarkEnd w:id="119"/>
      <w:r>
        <w:rPr>
          <w:rFonts w:ascii="Times New Roman" w:eastAsia="黑体" w:hAnsi="Times New Roman"/>
          <w:bCs/>
          <w:sz w:val="32"/>
          <w:szCs w:val="26"/>
        </w:rPr>
        <w:t>四、补链延链，提升产业链建设水平</w:t>
      </w:r>
      <w:bookmarkEnd w:id="158"/>
      <w:bookmarkEnd w:id="159"/>
      <w:bookmarkEnd w:id="160"/>
      <w:bookmarkEnd w:id="161"/>
      <w:bookmarkEnd w:id="162"/>
      <w:bookmarkEnd w:id="163"/>
      <w:bookmarkEnd w:id="164"/>
      <w:bookmarkEnd w:id="165"/>
      <w:bookmarkEnd w:id="166"/>
      <w:bookmarkEnd w:id="167"/>
      <w:bookmarkEnd w:id="168"/>
      <w:bookmarkEnd w:id="169"/>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70" w:name="_Toc89203801"/>
      <w:bookmarkStart w:id="171" w:name="_Toc14819"/>
      <w:r>
        <w:rPr>
          <w:rFonts w:ascii="Times New Roman" w:eastAsia="楷体" w:hAnsi="Times New Roman"/>
          <w:b/>
          <w:sz w:val="32"/>
          <w:szCs w:val="27"/>
        </w:rPr>
        <w:t>（一）提高上游原料保障能力</w:t>
      </w:r>
      <w:bookmarkEnd w:id="170"/>
      <w:bookmarkEnd w:id="171"/>
    </w:p>
    <w:p w:rsidR="00D74912" w:rsidRDefault="00FE7708">
      <w:pPr>
        <w:adjustRightInd w:val="0"/>
        <w:snapToGrid w:val="0"/>
        <w:spacing w:line="360" w:lineRule="auto"/>
        <w:ind w:firstLineChars="200" w:firstLine="640"/>
        <w:rPr>
          <w:rFonts w:ascii="Times New Roman" w:eastAsia="仿宋" w:hAnsi="Times New Roman"/>
        </w:rPr>
      </w:pPr>
      <w:r>
        <w:rPr>
          <w:rFonts w:ascii="Times New Roman" w:eastAsia="仿宋" w:hAnsi="Times New Roman"/>
          <w:kern w:val="0"/>
          <w:sz w:val="32"/>
          <w:szCs w:val="32"/>
        </w:rPr>
        <w:t>大力推广使用机制砂石，结合砂石骨料生产基地布局优化运输结构；积极推动公路、铁路、水路集装箱联运方式装载运输建筑砂石骨料，利用信息化手段实现对供应链的全程监管，提高砂石原料保障能力、降低砂石骨料运输成本、保障运输安全。规范砂石、掺合料企业生产和销售行为，推进砂石、掺合料企业设置具备满足相关标准性能测试要求的试验室，保障出厂产品质量。严禁在预拌混凝土、预拌砂浆及其他水泥制品中使用不符合标准要求砂石原料、掺合料，鼓励砂石骨料生产与预拌混凝土、预拌砂浆、水泥制品等生产融合发展，提高粒型与级配优良的砂石骨料占比，保障高性能混凝土、特种砂浆生产等对高品质砂石的需求。</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72" w:name="_Toc89203802"/>
      <w:bookmarkStart w:id="173" w:name="_Toc22785"/>
      <w:r>
        <w:rPr>
          <w:rFonts w:ascii="Times New Roman" w:eastAsia="楷体" w:hAnsi="Times New Roman"/>
          <w:b/>
          <w:sz w:val="32"/>
          <w:szCs w:val="27"/>
        </w:rPr>
        <w:t>（二）大力发展下游水泥制品产业链</w:t>
      </w:r>
      <w:bookmarkEnd w:id="172"/>
      <w:bookmarkEnd w:id="173"/>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推动产业升级，引导产业适度向高端化发展；鼓励企业做强做大，支持各种形式的企业兼并重组，创建广西品牌；鼓励企业走差异化发展道路，引导预拌混凝土、预拌砂浆生产企业延伸产业链条，主动适应绿色建筑和装配式建筑的发展要求，向水泥制品及预制件生产环节拓展。因地制宜，积</w:t>
      </w:r>
      <w:r>
        <w:rPr>
          <w:rFonts w:ascii="Times New Roman" w:eastAsia="仿宋" w:hAnsi="Times New Roman"/>
          <w:kern w:val="0"/>
          <w:sz w:val="32"/>
          <w:szCs w:val="32"/>
        </w:rPr>
        <w:lastRenderedPageBreak/>
        <w:t>极融入粤港澳大湾区建设；鼓励企业充分发挥钦州资源与海路优势，沿港口码头布局，对接大湾区应用市场，着重发展装配式建筑部品部件及配套专用砂浆、特殊工程用砂浆产品、水泥基渗透结晶型防水材料、装饰混凝土（砂浆）、新型水泥基装饰装修材料、其他无机绿色建材产品等。</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174" w:name="_Toc89203803"/>
      <w:bookmarkStart w:id="175" w:name="_Toc7694"/>
      <w:bookmarkStart w:id="176" w:name="_Toc9478"/>
      <w:bookmarkStart w:id="177" w:name="_Toc22771"/>
      <w:bookmarkStart w:id="178" w:name="_Toc29720"/>
      <w:bookmarkStart w:id="179" w:name="_Toc13716"/>
      <w:bookmarkStart w:id="180" w:name="_Toc6321"/>
      <w:bookmarkStart w:id="181" w:name="_Toc27131"/>
      <w:bookmarkStart w:id="182" w:name="_Toc27961"/>
      <w:bookmarkStart w:id="183" w:name="_Toc421"/>
      <w:bookmarkStart w:id="184" w:name="_Toc24074"/>
      <w:r>
        <w:rPr>
          <w:rFonts w:ascii="Times New Roman" w:eastAsia="黑体" w:hAnsi="Times New Roman"/>
          <w:bCs/>
          <w:sz w:val="32"/>
          <w:szCs w:val="26"/>
        </w:rPr>
        <w:t>五、践行绿色理念，</w:t>
      </w:r>
      <w:bookmarkEnd w:id="174"/>
      <w:bookmarkEnd w:id="175"/>
      <w:bookmarkEnd w:id="176"/>
      <w:bookmarkEnd w:id="177"/>
      <w:bookmarkEnd w:id="178"/>
      <w:bookmarkEnd w:id="179"/>
      <w:bookmarkEnd w:id="180"/>
      <w:bookmarkEnd w:id="181"/>
      <w:r>
        <w:rPr>
          <w:rFonts w:ascii="Times New Roman" w:eastAsia="黑体" w:hAnsi="Times New Roman"/>
          <w:bCs/>
          <w:sz w:val="32"/>
          <w:szCs w:val="26"/>
        </w:rPr>
        <w:t>助力行业</w:t>
      </w:r>
      <w:r>
        <w:rPr>
          <w:rFonts w:ascii="Times New Roman" w:eastAsia="黑体" w:hAnsi="Times New Roman"/>
          <w:bCs/>
          <w:sz w:val="32"/>
          <w:szCs w:val="26"/>
        </w:rPr>
        <w:t>“</w:t>
      </w:r>
      <w:r>
        <w:rPr>
          <w:rFonts w:ascii="Times New Roman" w:eastAsia="黑体" w:hAnsi="Times New Roman"/>
          <w:bCs/>
          <w:sz w:val="32"/>
          <w:szCs w:val="26"/>
        </w:rPr>
        <w:t>碳达峰、碳中和</w:t>
      </w:r>
      <w:r>
        <w:rPr>
          <w:rFonts w:ascii="Times New Roman" w:eastAsia="黑体" w:hAnsi="Times New Roman"/>
          <w:bCs/>
          <w:sz w:val="32"/>
          <w:szCs w:val="26"/>
        </w:rPr>
        <w:t>”</w:t>
      </w:r>
      <w:bookmarkEnd w:id="182"/>
      <w:bookmarkEnd w:id="183"/>
      <w:bookmarkEnd w:id="184"/>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85" w:name="_Toc6920"/>
      <w:bookmarkStart w:id="186" w:name="_Toc89203804"/>
      <w:r>
        <w:rPr>
          <w:rFonts w:ascii="Times New Roman" w:eastAsia="楷体" w:hAnsi="Times New Roman"/>
          <w:b/>
          <w:sz w:val="32"/>
          <w:szCs w:val="27"/>
        </w:rPr>
        <w:t>（一）开展绿色评价与清洁生产改造</w:t>
      </w:r>
      <w:bookmarkEnd w:id="185"/>
      <w:bookmarkEnd w:id="186"/>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开展绿色评价和绿色建材产品认证。组织开展预拌混凝土绿色生产星级评定，对通过绿色生产星级评定的企业、符合高性能、绿色标准的产品，协调建设管理部门在信息价格上给予体现，并作为建设工程招投标、评优等评分条件；加快推进预拌混凝土、预拌砂浆、水泥制品等绿色建材产品认证，根据评价和认证结果建立绿色建材生产企业名录和绿色建材产品名录，鼓励绿色生产和推广绿色产品应用。</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抓重点突破，推进清洁生产改造。建立试点示范，发现和培育先进典型，不断总结推广先进经验，通过试点示范项目引领行业绿色发展，加强先进示范企业的表彰与宣传；加强企业在生产、运输、存储环节的管控，对原材料堆场实行全封闭，对生产废水及场地雨水进行回收循环利用，对混凝土残渣实行砂石分离、回收利用，对预拌混凝土专用车辆实施保洁，实现绿色清洁化生产目标。</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187" w:name="_Toc26687"/>
      <w:bookmarkStart w:id="188" w:name="_Toc89203805"/>
      <w:r>
        <w:rPr>
          <w:rFonts w:ascii="Times New Roman" w:eastAsia="楷体" w:hAnsi="Times New Roman"/>
          <w:b/>
          <w:sz w:val="32"/>
          <w:szCs w:val="27"/>
        </w:rPr>
        <w:t>（二）</w:t>
      </w:r>
      <w:bookmarkEnd w:id="187"/>
      <w:r>
        <w:rPr>
          <w:rFonts w:ascii="Times New Roman" w:eastAsia="楷体" w:hAnsi="Times New Roman"/>
          <w:b/>
          <w:sz w:val="32"/>
          <w:szCs w:val="27"/>
        </w:rPr>
        <w:t>提高资源化利用水平</w:t>
      </w:r>
      <w:bookmarkEnd w:id="188"/>
    </w:p>
    <w:p w:rsidR="00D74912" w:rsidRDefault="00FE7708">
      <w:pPr>
        <w:adjustRightInd w:val="0"/>
        <w:snapToGrid w:val="0"/>
        <w:spacing w:line="360" w:lineRule="auto"/>
        <w:ind w:firstLineChars="200" w:firstLine="640"/>
        <w:rPr>
          <w:rFonts w:ascii="Times New Roman" w:eastAsia="仿宋_GB2312" w:hAnsi="Times New Roman"/>
          <w:kern w:val="0"/>
          <w:sz w:val="32"/>
          <w:szCs w:val="32"/>
        </w:rPr>
      </w:pPr>
      <w:r>
        <w:rPr>
          <w:rFonts w:ascii="Times New Roman" w:eastAsia="仿宋" w:hAnsi="Times New Roman"/>
          <w:kern w:val="0"/>
          <w:sz w:val="32"/>
          <w:szCs w:val="32"/>
        </w:rPr>
        <w:lastRenderedPageBreak/>
        <w:t>推动循环经济发展，发展静脉产业，加快提出固体废弃物回收利用管理机制，构建稳定的固废回用市场体系。开展固废处置、预拌混凝土建筑固废协同处置技术研究开发，重点提高城市建筑垃圾、工业废渣等固体废弃物资源在预拌混凝土、预拌砂浆生产中的应用比例，积极开发推广低碳利废再生混凝土，减少对水泥、天然原材料的使用，提高资源综合利用率。</w:t>
      </w:r>
    </w:p>
    <w:p w:rsidR="00D74912" w:rsidRDefault="00FE7708">
      <w:pPr>
        <w:numPr>
          <w:ilvl w:val="0"/>
          <w:numId w:val="1"/>
        </w:numPr>
        <w:adjustRightInd w:val="0"/>
        <w:snapToGrid w:val="0"/>
        <w:spacing w:line="360" w:lineRule="auto"/>
        <w:ind w:firstLineChars="200" w:firstLine="643"/>
        <w:outlineLvl w:val="2"/>
        <w:rPr>
          <w:rFonts w:ascii="Times New Roman" w:eastAsia="楷体" w:hAnsi="Times New Roman"/>
          <w:b/>
          <w:sz w:val="32"/>
          <w:szCs w:val="27"/>
        </w:rPr>
      </w:pPr>
      <w:bookmarkStart w:id="189" w:name="_Toc89203806"/>
      <w:r>
        <w:rPr>
          <w:rFonts w:ascii="Times New Roman" w:eastAsia="楷体" w:hAnsi="Times New Roman"/>
          <w:b/>
          <w:sz w:val="32"/>
          <w:szCs w:val="27"/>
        </w:rPr>
        <w:t>开展低碳节能工程</w:t>
      </w:r>
      <w:bookmarkEnd w:id="189"/>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积极开发以减量减排、绿色高效为主要特征的减污降碳新工艺、新产品及新技术，大力推广使用清洁能源，加快推进低碳及节能减排努力推进预拌混凝土、预拌砂浆行业用能结构调整，提升能源利用效率，抑制能源消费过快增长，严格落实能源消耗总量和强度双控及节能挖潜工作要求。鼓励企业开展系统性节能诊断工作，实施生产设备升级改造，积极使用绿色节能新技术新装备，增加无功补偿装置，通过增加搅拌楼无功补偿装置，降低碳排放，提高搅拌站功率因数，减少搅拌楼运行过程耗电量。优化生产现场布局及物流规划，实现连续化、紧凑化和高效化生产，促进节能降耗、助力行业</w:t>
      </w:r>
      <w:r>
        <w:rPr>
          <w:rFonts w:ascii="Times New Roman" w:eastAsia="仿宋" w:hAnsi="Times New Roman"/>
          <w:kern w:val="0"/>
          <w:sz w:val="32"/>
          <w:szCs w:val="32"/>
        </w:rPr>
        <w:t>“</w:t>
      </w:r>
      <w:r>
        <w:rPr>
          <w:rFonts w:ascii="Times New Roman" w:eastAsia="仿宋" w:hAnsi="Times New Roman"/>
          <w:kern w:val="0"/>
          <w:sz w:val="32"/>
          <w:szCs w:val="32"/>
        </w:rPr>
        <w:t>碳达峰、碳中和</w:t>
      </w:r>
      <w:r>
        <w:rPr>
          <w:rFonts w:ascii="Times New Roman" w:eastAsia="仿宋" w:hAnsi="Times New Roman"/>
          <w:kern w:val="0"/>
          <w:sz w:val="32"/>
          <w:szCs w:val="32"/>
        </w:rPr>
        <w:t>”</w:t>
      </w:r>
      <w:r>
        <w:rPr>
          <w:rFonts w:ascii="Times New Roman" w:eastAsia="仿宋" w:hAnsi="Times New Roman"/>
          <w:kern w:val="0"/>
          <w:sz w:val="32"/>
          <w:szCs w:val="32"/>
        </w:rPr>
        <w:t>。</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190" w:name="_Toc57045240"/>
      <w:bookmarkStart w:id="191" w:name="_Toc31377"/>
      <w:bookmarkStart w:id="192" w:name="_Toc25164"/>
      <w:bookmarkStart w:id="193" w:name="_Toc89203807"/>
      <w:bookmarkStart w:id="194" w:name="_Toc15606"/>
      <w:bookmarkStart w:id="195" w:name="_Toc16558"/>
      <w:bookmarkStart w:id="196" w:name="_Toc9600"/>
      <w:bookmarkStart w:id="197" w:name="_Toc27838"/>
      <w:bookmarkStart w:id="198" w:name="_Toc19009"/>
      <w:bookmarkStart w:id="199" w:name="_Toc10251"/>
      <w:bookmarkStart w:id="200" w:name="_Toc23413"/>
      <w:bookmarkStart w:id="201" w:name="_Toc20310"/>
      <w:bookmarkStart w:id="202" w:name="_Toc29087"/>
      <w:r>
        <w:rPr>
          <w:rFonts w:ascii="Times New Roman" w:eastAsia="黑体" w:hAnsi="Times New Roman"/>
          <w:bCs/>
          <w:sz w:val="32"/>
          <w:szCs w:val="26"/>
        </w:rPr>
        <w:t>六、</w:t>
      </w:r>
      <w:bookmarkStart w:id="203" w:name="_Toc25876"/>
      <w:bookmarkStart w:id="204" w:name="_Toc21120"/>
      <w:bookmarkStart w:id="205" w:name="_Toc17075"/>
      <w:bookmarkStart w:id="206" w:name="_Toc18091"/>
      <w:bookmarkStart w:id="207" w:name="_Toc4868"/>
      <w:bookmarkStart w:id="208" w:name="_Toc11974"/>
      <w:bookmarkStart w:id="209" w:name="_Toc13148"/>
      <w:bookmarkStart w:id="210" w:name="_Toc32724"/>
      <w:bookmarkStart w:id="211" w:name="_Toc24447"/>
      <w:bookmarkEnd w:id="190"/>
      <w:r>
        <w:rPr>
          <w:rFonts w:ascii="Times New Roman" w:eastAsia="黑体" w:hAnsi="Times New Roman"/>
          <w:bCs/>
          <w:sz w:val="32"/>
          <w:szCs w:val="26"/>
        </w:rPr>
        <w:t>科技引领，</w:t>
      </w:r>
      <w:bookmarkEnd w:id="203"/>
      <w:bookmarkEnd w:id="204"/>
      <w:bookmarkEnd w:id="205"/>
      <w:bookmarkEnd w:id="206"/>
      <w:bookmarkEnd w:id="207"/>
      <w:bookmarkEnd w:id="208"/>
      <w:bookmarkEnd w:id="209"/>
      <w:bookmarkEnd w:id="210"/>
      <w:bookmarkEnd w:id="211"/>
      <w:r>
        <w:rPr>
          <w:rFonts w:ascii="Times New Roman" w:eastAsia="黑体" w:hAnsi="Times New Roman"/>
          <w:bCs/>
          <w:sz w:val="32"/>
          <w:szCs w:val="26"/>
        </w:rPr>
        <w:t>提高行业技术与创新水平</w:t>
      </w:r>
      <w:bookmarkEnd w:id="191"/>
      <w:bookmarkEnd w:id="192"/>
      <w:bookmarkEnd w:id="193"/>
      <w:bookmarkEnd w:id="194"/>
      <w:bookmarkEnd w:id="195"/>
      <w:bookmarkEnd w:id="196"/>
      <w:bookmarkEnd w:id="197"/>
      <w:bookmarkEnd w:id="198"/>
      <w:bookmarkEnd w:id="199"/>
      <w:bookmarkEnd w:id="200"/>
      <w:bookmarkEnd w:id="201"/>
      <w:bookmarkEnd w:id="202"/>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12" w:name="_Toc89203808"/>
      <w:bookmarkStart w:id="213" w:name="_Toc32428"/>
      <w:r>
        <w:rPr>
          <w:rFonts w:ascii="Times New Roman" w:eastAsia="楷体" w:hAnsi="Times New Roman"/>
          <w:b/>
          <w:sz w:val="32"/>
          <w:szCs w:val="27"/>
        </w:rPr>
        <w:t>（一）提高行业技术水平</w:t>
      </w:r>
      <w:bookmarkEnd w:id="212"/>
      <w:bookmarkEnd w:id="213"/>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加强培训考核、严格持证上岗，提升从业人员素质；加</w:t>
      </w:r>
      <w:r>
        <w:rPr>
          <w:rFonts w:ascii="Times New Roman" w:eastAsia="仿宋" w:hAnsi="Times New Roman"/>
          <w:kern w:val="0"/>
          <w:sz w:val="32"/>
          <w:szCs w:val="32"/>
        </w:rPr>
        <w:lastRenderedPageBreak/>
        <w:t>强技术培训与交流，提升行业技术水平，通过开展新标准、新技术、新工艺、新产品等各类专业培训，开展施工项目现场会、施工技术交流等多种形式的会议交流，开展试验能力比对、施工技术竞赛等相关技能提升活动，全面提升行业技术水平。</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14" w:name="_Toc1628"/>
      <w:bookmarkStart w:id="215" w:name="_Toc89203809"/>
      <w:r>
        <w:rPr>
          <w:rFonts w:ascii="Times New Roman" w:eastAsia="楷体" w:hAnsi="Times New Roman"/>
          <w:b/>
          <w:sz w:val="32"/>
          <w:szCs w:val="27"/>
        </w:rPr>
        <w:t>（二）创新发展模式，提高创新水平</w:t>
      </w:r>
      <w:bookmarkEnd w:id="214"/>
      <w:bookmarkEnd w:id="215"/>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推进行业集约发展，培育骨干企业，支持、鼓励和引导企业进行联合重组，提升市场集中度，解决产业</w:t>
      </w:r>
      <w:r>
        <w:rPr>
          <w:rFonts w:ascii="Times New Roman" w:eastAsia="仿宋" w:hAnsi="Times New Roman"/>
          <w:kern w:val="0"/>
          <w:sz w:val="32"/>
          <w:szCs w:val="32"/>
        </w:rPr>
        <w:t>“</w:t>
      </w:r>
      <w:r>
        <w:rPr>
          <w:rFonts w:ascii="Times New Roman" w:eastAsia="仿宋" w:hAnsi="Times New Roman"/>
          <w:kern w:val="0"/>
          <w:sz w:val="32"/>
          <w:szCs w:val="32"/>
        </w:rPr>
        <w:t>小、散、弱</w:t>
      </w:r>
      <w:r>
        <w:rPr>
          <w:rFonts w:ascii="Times New Roman" w:eastAsia="仿宋" w:hAnsi="Times New Roman"/>
          <w:kern w:val="0"/>
          <w:sz w:val="32"/>
          <w:szCs w:val="32"/>
        </w:rPr>
        <w:t>”</w:t>
      </w:r>
      <w:r>
        <w:rPr>
          <w:rFonts w:ascii="Times New Roman" w:eastAsia="仿宋" w:hAnsi="Times New Roman"/>
          <w:kern w:val="0"/>
          <w:sz w:val="32"/>
          <w:szCs w:val="32"/>
        </w:rPr>
        <w:t>的问题，支持企业项目建设和技术创新，以行业</w:t>
      </w:r>
      <w:r>
        <w:rPr>
          <w:rFonts w:ascii="Times New Roman" w:eastAsia="仿宋" w:hAnsi="Times New Roman"/>
          <w:kern w:val="0"/>
          <w:sz w:val="32"/>
          <w:szCs w:val="32"/>
        </w:rPr>
        <w:t>“</w:t>
      </w:r>
      <w:r>
        <w:rPr>
          <w:rFonts w:ascii="Times New Roman" w:eastAsia="仿宋" w:hAnsi="Times New Roman"/>
          <w:kern w:val="0"/>
          <w:sz w:val="32"/>
          <w:szCs w:val="32"/>
        </w:rPr>
        <w:t>龙头</w:t>
      </w:r>
      <w:r>
        <w:rPr>
          <w:rFonts w:ascii="Times New Roman" w:eastAsia="仿宋" w:hAnsi="Times New Roman"/>
          <w:kern w:val="0"/>
          <w:sz w:val="32"/>
          <w:szCs w:val="32"/>
        </w:rPr>
        <w:t>”</w:t>
      </w:r>
      <w:r>
        <w:rPr>
          <w:rFonts w:ascii="Times New Roman" w:eastAsia="仿宋" w:hAnsi="Times New Roman"/>
          <w:kern w:val="0"/>
          <w:sz w:val="32"/>
          <w:szCs w:val="32"/>
        </w:rPr>
        <w:t>引领行业发展；打造以骨干企业为龙头、上下游关联产业协作配套、共同发展的产业生态集群。</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加快发展生产性服务业，以服务生产制造业发展为导向，通过发展生产性服务业促进产业发展的新模式，鼓励企业发展现代物流、工业设计、技术研发等生产性服务业，鼓励发展面向行业的信息技术服务、现代物流服务、融资服务、电子商务服务、检验检测认证、人力资源服务等生产性服务业。</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3.</w:t>
      </w:r>
      <w:r>
        <w:rPr>
          <w:rFonts w:ascii="Times New Roman" w:eastAsia="仿宋" w:hAnsi="Times New Roman"/>
          <w:kern w:val="0"/>
          <w:sz w:val="32"/>
          <w:szCs w:val="32"/>
        </w:rPr>
        <w:t>构建以企业为主体，产学研用为支撑的技术创新体系，支持有条件的企业建立企业技术中心，加强技术研发，推广先进技术、先进工艺和先进设备，提升行业技术水平。</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216" w:name="_Toc27849"/>
      <w:bookmarkStart w:id="217" w:name="_Toc5292"/>
      <w:bookmarkStart w:id="218" w:name="_Toc13966"/>
      <w:bookmarkStart w:id="219" w:name="_Toc9143"/>
      <w:bookmarkStart w:id="220" w:name="_Toc3352"/>
      <w:bookmarkStart w:id="221" w:name="_Toc25513"/>
      <w:bookmarkStart w:id="222" w:name="_Toc3189"/>
      <w:bookmarkStart w:id="223" w:name="_Toc11652"/>
      <w:bookmarkStart w:id="224" w:name="_Toc15651"/>
      <w:bookmarkStart w:id="225" w:name="_Toc27476"/>
      <w:bookmarkStart w:id="226" w:name="_Toc89203810"/>
      <w:bookmarkStart w:id="227" w:name="_Toc21507"/>
      <w:r>
        <w:rPr>
          <w:rFonts w:ascii="Times New Roman" w:eastAsia="黑体" w:hAnsi="Times New Roman"/>
          <w:bCs/>
          <w:sz w:val="32"/>
          <w:szCs w:val="26"/>
        </w:rPr>
        <w:t>七、两化融合</w:t>
      </w:r>
      <w:bookmarkEnd w:id="216"/>
      <w:bookmarkEnd w:id="217"/>
      <w:r>
        <w:rPr>
          <w:rFonts w:ascii="Times New Roman" w:eastAsia="黑体" w:hAnsi="Times New Roman"/>
          <w:bCs/>
          <w:sz w:val="32"/>
          <w:szCs w:val="26"/>
        </w:rPr>
        <w:t>，促进智能制造发展</w:t>
      </w:r>
      <w:bookmarkEnd w:id="218"/>
      <w:bookmarkEnd w:id="219"/>
      <w:bookmarkEnd w:id="220"/>
      <w:bookmarkEnd w:id="221"/>
      <w:bookmarkEnd w:id="222"/>
      <w:bookmarkEnd w:id="223"/>
      <w:bookmarkEnd w:id="224"/>
      <w:bookmarkEnd w:id="225"/>
      <w:bookmarkEnd w:id="226"/>
      <w:bookmarkEnd w:id="227"/>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28" w:name="_Toc57045242"/>
      <w:bookmarkStart w:id="229" w:name="_Toc7443"/>
      <w:bookmarkStart w:id="230" w:name="_Toc89203811"/>
      <w:r>
        <w:rPr>
          <w:rFonts w:ascii="Times New Roman" w:eastAsia="楷体" w:hAnsi="Times New Roman"/>
          <w:b/>
          <w:sz w:val="32"/>
          <w:szCs w:val="27"/>
        </w:rPr>
        <w:t>（一）</w:t>
      </w:r>
      <w:bookmarkEnd w:id="228"/>
      <w:r>
        <w:rPr>
          <w:rFonts w:ascii="Times New Roman" w:eastAsia="楷体" w:hAnsi="Times New Roman"/>
          <w:b/>
          <w:sz w:val="32"/>
          <w:szCs w:val="27"/>
        </w:rPr>
        <w:t>加强信息化平台建设</w:t>
      </w:r>
      <w:bookmarkEnd w:id="229"/>
      <w:bookmarkEnd w:id="230"/>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lastRenderedPageBreak/>
        <w:t>继续完善和加强信息化平台建设，开展公共云服务平台和能源管控中心建设，运用智慧化手段强化监管监督；构建</w:t>
      </w:r>
      <w:r>
        <w:rPr>
          <w:rFonts w:ascii="Times New Roman" w:eastAsia="仿宋" w:hAnsi="Times New Roman"/>
          <w:kern w:val="0"/>
          <w:sz w:val="32"/>
          <w:szCs w:val="32"/>
        </w:rPr>
        <w:t>“</w:t>
      </w:r>
      <w:r>
        <w:rPr>
          <w:rFonts w:ascii="Times New Roman" w:eastAsia="仿宋" w:hAnsi="Times New Roman"/>
          <w:kern w:val="0"/>
          <w:sz w:val="32"/>
          <w:szCs w:val="32"/>
        </w:rPr>
        <w:t>互联网＋</w:t>
      </w:r>
      <w:r>
        <w:rPr>
          <w:rFonts w:ascii="Times New Roman" w:eastAsia="仿宋" w:hAnsi="Times New Roman"/>
          <w:kern w:val="0"/>
          <w:sz w:val="32"/>
          <w:szCs w:val="32"/>
        </w:rPr>
        <w:t>”</w:t>
      </w:r>
      <w:r>
        <w:rPr>
          <w:rFonts w:ascii="Times New Roman" w:eastAsia="仿宋" w:hAnsi="Times New Roman"/>
          <w:kern w:val="0"/>
          <w:sz w:val="32"/>
          <w:szCs w:val="32"/>
        </w:rPr>
        <w:t>行业服务体系，集成企业研发系统、信息系统、运行管理系统，逐步推进工业软件、数据管理、工程服务、技术标准等资源开放共享和云应用服务，推动预拌混凝土和预拌砂浆行业转变经营模式，构建从合同签订、原材料采购、生产、运输、销售、结算等全过程智能化管理体系，实现生产过程和产品质量可追溯功能，提升企业信息化水平。</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31" w:name="_Toc12457"/>
      <w:bookmarkStart w:id="232" w:name="_Toc89203812"/>
      <w:r>
        <w:rPr>
          <w:rFonts w:ascii="Times New Roman" w:eastAsia="楷体" w:hAnsi="Times New Roman"/>
          <w:b/>
          <w:sz w:val="32"/>
          <w:szCs w:val="27"/>
        </w:rPr>
        <w:t>（二）推进行业智能制造转型</w:t>
      </w:r>
      <w:bookmarkEnd w:id="231"/>
      <w:bookmarkEnd w:id="232"/>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围绕感知、通信、控制、设计、决策、执行等关键环节，加快生产调度与控制的智能优化系统等技术应用，全面提升研发、生产、管理、营销和服务全流程智能化水平，提高劳动生产率和降低成本。</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以企业为主体、市场为导向、应用为核心，围绕流程性智能制造、网络协同、大规模个性化定制、远程运维服务等模式，开展产业智能制造试点示范，建设若干家智能工厂以及智能云服务平台，推进建设绿色散装水泥产业特色智慧园区，探索与实践有效的经验和模式，不断丰富成熟后在行业内全面推广，改造现有生产线，推动生产方式向智能、柔性、精细化转变，建立</w:t>
      </w:r>
      <w:r>
        <w:rPr>
          <w:rFonts w:ascii="Times New Roman" w:eastAsia="仿宋" w:hAnsi="Times New Roman"/>
          <w:kern w:val="0"/>
          <w:sz w:val="32"/>
          <w:szCs w:val="32"/>
        </w:rPr>
        <w:t>“</w:t>
      </w:r>
      <w:r>
        <w:rPr>
          <w:rFonts w:ascii="Times New Roman" w:eastAsia="仿宋" w:hAnsi="Times New Roman"/>
          <w:kern w:val="0"/>
          <w:sz w:val="32"/>
          <w:szCs w:val="32"/>
        </w:rPr>
        <w:t>互联网</w:t>
      </w:r>
      <w:r>
        <w:rPr>
          <w:rFonts w:ascii="Times New Roman" w:eastAsia="仿宋" w:hAnsi="Times New Roman"/>
          <w:kern w:val="0"/>
          <w:sz w:val="32"/>
          <w:szCs w:val="32"/>
        </w:rPr>
        <w:t>+”</w:t>
      </w:r>
      <w:r>
        <w:rPr>
          <w:rFonts w:ascii="Times New Roman" w:eastAsia="仿宋" w:hAnsi="Times New Roman"/>
          <w:kern w:val="0"/>
          <w:sz w:val="32"/>
          <w:szCs w:val="32"/>
        </w:rPr>
        <w:t>协同制造的产业新模式。推进电子商务和大数据服务体系建设。</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233" w:name="_Toc9453"/>
      <w:bookmarkStart w:id="234" w:name="_Toc16219"/>
      <w:bookmarkStart w:id="235" w:name="_Toc31336"/>
      <w:bookmarkStart w:id="236" w:name="_Toc10109"/>
      <w:bookmarkStart w:id="237" w:name="_Toc5544"/>
      <w:bookmarkStart w:id="238" w:name="_Toc9595"/>
      <w:bookmarkStart w:id="239" w:name="_Toc19934"/>
      <w:bookmarkStart w:id="240" w:name="_Toc21403"/>
      <w:bookmarkStart w:id="241" w:name="_Toc18500"/>
      <w:bookmarkStart w:id="242" w:name="_Toc21283"/>
      <w:bookmarkStart w:id="243" w:name="_Toc89203813"/>
      <w:bookmarkStart w:id="244" w:name="_Toc23256"/>
      <w:bookmarkStart w:id="245" w:name="_Toc23317"/>
      <w:bookmarkStart w:id="246" w:name="_Toc22247"/>
      <w:r>
        <w:rPr>
          <w:rFonts w:ascii="Times New Roman" w:eastAsia="黑体" w:hAnsi="Times New Roman"/>
          <w:bCs/>
          <w:sz w:val="32"/>
          <w:szCs w:val="26"/>
        </w:rPr>
        <w:lastRenderedPageBreak/>
        <w:t>八、完善机制</w:t>
      </w:r>
      <w:bookmarkEnd w:id="233"/>
      <w:bookmarkEnd w:id="234"/>
      <w:bookmarkEnd w:id="235"/>
      <w:bookmarkEnd w:id="236"/>
      <w:r>
        <w:rPr>
          <w:rFonts w:ascii="Times New Roman" w:eastAsia="黑体" w:hAnsi="Times New Roman"/>
          <w:bCs/>
          <w:sz w:val="32"/>
          <w:szCs w:val="26"/>
        </w:rPr>
        <w:t>，推进行业规范化管理</w:t>
      </w:r>
      <w:bookmarkEnd w:id="237"/>
      <w:bookmarkEnd w:id="238"/>
      <w:bookmarkEnd w:id="239"/>
      <w:bookmarkEnd w:id="240"/>
      <w:bookmarkEnd w:id="241"/>
      <w:bookmarkEnd w:id="242"/>
      <w:bookmarkEnd w:id="243"/>
      <w:bookmarkEnd w:id="244"/>
      <w:bookmarkEnd w:id="245"/>
      <w:bookmarkEnd w:id="246"/>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47" w:name="_Toc16310"/>
      <w:bookmarkStart w:id="248" w:name="_Toc89203814"/>
      <w:r>
        <w:rPr>
          <w:rFonts w:ascii="Times New Roman" w:eastAsia="楷体" w:hAnsi="Times New Roman"/>
          <w:b/>
          <w:sz w:val="32"/>
          <w:szCs w:val="27"/>
        </w:rPr>
        <w:t>（一）完善行业监督管理机制</w:t>
      </w:r>
      <w:bookmarkEnd w:id="247"/>
      <w:bookmarkEnd w:id="248"/>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依照相关法律法规进一步完善行业监督管理机制，</w:t>
      </w:r>
      <w:r>
        <w:rPr>
          <w:rFonts w:ascii="Times New Roman" w:eastAsia="仿宋" w:hAnsi="Times New Roman"/>
          <w:kern w:val="0"/>
          <w:sz w:val="32"/>
          <w:szCs w:val="32"/>
        </w:rPr>
        <w:t>“</w:t>
      </w:r>
      <w:r>
        <w:rPr>
          <w:rFonts w:ascii="Times New Roman" w:eastAsia="仿宋" w:hAnsi="Times New Roman"/>
          <w:kern w:val="0"/>
          <w:sz w:val="32"/>
          <w:szCs w:val="32"/>
        </w:rPr>
        <w:t>依法治散，依法兴散</w:t>
      </w:r>
      <w:r>
        <w:rPr>
          <w:rFonts w:ascii="Times New Roman" w:eastAsia="仿宋" w:hAnsi="Times New Roman"/>
          <w:kern w:val="0"/>
          <w:sz w:val="32"/>
          <w:szCs w:val="32"/>
        </w:rPr>
        <w:t>”</w:t>
      </w:r>
      <w:r>
        <w:rPr>
          <w:rFonts w:ascii="Times New Roman" w:eastAsia="仿宋" w:hAnsi="Times New Roman"/>
          <w:kern w:val="0"/>
          <w:sz w:val="32"/>
          <w:szCs w:val="32"/>
        </w:rPr>
        <w:t>，遏制无专业承包资质混凝土企业违规生产、销售预拌混凝土现象</w:t>
      </w:r>
      <w:r>
        <w:rPr>
          <w:rFonts w:ascii="Times New Roman" w:eastAsia="仿宋" w:hAnsi="Times New Roman"/>
          <w:kern w:val="0"/>
          <w:sz w:val="32"/>
          <w:szCs w:val="32"/>
        </w:rPr>
        <w:t>“</w:t>
      </w:r>
      <w:r>
        <w:rPr>
          <w:rFonts w:ascii="Times New Roman" w:eastAsia="仿宋" w:hAnsi="Times New Roman"/>
          <w:kern w:val="0"/>
          <w:sz w:val="32"/>
          <w:szCs w:val="32"/>
        </w:rPr>
        <w:t>死灰复燃</w:t>
      </w:r>
      <w:r>
        <w:rPr>
          <w:rFonts w:ascii="Times New Roman" w:eastAsia="仿宋" w:hAnsi="Times New Roman"/>
          <w:kern w:val="0"/>
          <w:sz w:val="32"/>
          <w:szCs w:val="32"/>
        </w:rPr>
        <w:t>”</w:t>
      </w:r>
      <w:r>
        <w:rPr>
          <w:rFonts w:ascii="Times New Roman" w:eastAsia="仿宋" w:hAnsi="Times New Roman"/>
          <w:kern w:val="0"/>
          <w:sz w:val="32"/>
          <w:szCs w:val="32"/>
        </w:rPr>
        <w:t>，规范行业市场秩序，严格把握行业准入门槛，落实落细</w:t>
      </w:r>
      <w:r>
        <w:rPr>
          <w:rFonts w:ascii="Times New Roman" w:eastAsia="仿宋" w:hAnsi="Times New Roman"/>
          <w:kern w:val="0"/>
          <w:sz w:val="32"/>
          <w:szCs w:val="32"/>
        </w:rPr>
        <w:t>“</w:t>
      </w:r>
      <w:r>
        <w:rPr>
          <w:rFonts w:ascii="Times New Roman" w:eastAsia="仿宋" w:hAnsi="Times New Roman"/>
          <w:kern w:val="0"/>
          <w:sz w:val="32"/>
          <w:szCs w:val="32"/>
        </w:rPr>
        <w:t>僵尸产能</w:t>
      </w:r>
      <w:r>
        <w:rPr>
          <w:rFonts w:ascii="Times New Roman" w:eastAsia="仿宋" w:hAnsi="Times New Roman"/>
          <w:kern w:val="0"/>
          <w:sz w:val="32"/>
          <w:szCs w:val="32"/>
        </w:rPr>
        <w:t>”</w:t>
      </w:r>
      <w:r>
        <w:rPr>
          <w:rFonts w:ascii="Times New Roman" w:eastAsia="仿宋" w:hAnsi="Times New Roman"/>
          <w:kern w:val="0"/>
          <w:sz w:val="32"/>
          <w:szCs w:val="32"/>
        </w:rPr>
        <w:t>和落后产能退出机制，严肃行业生产数据统计报送管理，严格开展专项检查，保障行业产品质量与生产、运输安全。</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继续完善行业监管信息平台建设，运用信息化技术对产业产品质量与生产、运输安全进行动态监管，形成规范化、常态化、动态与静态管理相结合的监管机制。</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3.</w:t>
      </w:r>
      <w:r>
        <w:rPr>
          <w:rFonts w:ascii="Times New Roman" w:eastAsia="仿宋" w:hAnsi="Times New Roman"/>
          <w:kern w:val="0"/>
          <w:sz w:val="32"/>
          <w:szCs w:val="32"/>
        </w:rPr>
        <w:t>创新规划管理，建立散装水泥产业规划布点会商制度，加强项目用地保障，探索将产业布点规划控制指标纳入土地公开招拍挂中的必备事项，加强事中事后监管。</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4.</w:t>
      </w:r>
      <w:r>
        <w:rPr>
          <w:rFonts w:ascii="Times New Roman" w:eastAsia="仿宋" w:hAnsi="Times New Roman"/>
          <w:kern w:val="0"/>
          <w:sz w:val="32"/>
          <w:szCs w:val="32"/>
        </w:rPr>
        <w:t>建立示范推广机制，引领行业发展，加强推广应用示范项目建设，选取</w:t>
      </w:r>
      <w:r>
        <w:rPr>
          <w:rFonts w:ascii="Times New Roman" w:eastAsia="仿宋" w:hAnsi="Times New Roman"/>
          <w:color w:val="000000" w:themeColor="text1"/>
          <w:kern w:val="0"/>
          <w:sz w:val="32"/>
          <w:szCs w:val="32"/>
        </w:rPr>
        <w:t>2-3</w:t>
      </w:r>
      <w:r>
        <w:rPr>
          <w:rFonts w:ascii="Times New Roman" w:eastAsia="仿宋" w:hAnsi="Times New Roman"/>
          <w:color w:val="000000" w:themeColor="text1"/>
          <w:kern w:val="0"/>
          <w:sz w:val="32"/>
          <w:szCs w:val="32"/>
        </w:rPr>
        <w:t>个</w:t>
      </w:r>
      <w:r>
        <w:rPr>
          <w:rFonts w:ascii="Times New Roman" w:eastAsia="仿宋" w:hAnsi="Times New Roman"/>
          <w:kern w:val="0"/>
          <w:sz w:val="32"/>
          <w:szCs w:val="32"/>
        </w:rPr>
        <w:t>标准化建设程度高、实现绿色化和智能化生产企业作为示范点，以点带面，引领行业高质量发展。</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49" w:name="_Toc89203815"/>
      <w:bookmarkStart w:id="250" w:name="_Toc27604"/>
      <w:r>
        <w:rPr>
          <w:rFonts w:ascii="Times New Roman" w:eastAsia="楷体" w:hAnsi="Times New Roman"/>
          <w:b/>
          <w:sz w:val="32"/>
          <w:szCs w:val="27"/>
        </w:rPr>
        <w:t>（二）积极发挥行业协会作用</w:t>
      </w:r>
      <w:bookmarkEnd w:id="249"/>
      <w:bookmarkEnd w:id="250"/>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加强对预拌混凝土预拌砂浆行业协会的管理、指导和服务，规范行业协会承担政府购买服务工作行为，通过协会活动来推动行业自律协调。</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lastRenderedPageBreak/>
        <w:t>2.</w:t>
      </w:r>
      <w:r>
        <w:rPr>
          <w:rFonts w:ascii="Times New Roman" w:eastAsia="仿宋" w:hAnsi="Times New Roman"/>
          <w:kern w:val="0"/>
          <w:sz w:val="32"/>
          <w:szCs w:val="32"/>
        </w:rPr>
        <w:t>完善行业协会治理结构，发挥企业与行业专家作用，进一步改善协会治理结构，建立行业龙头企业、研究院所、行业专家共同组成的协会群体，让企业与行业专家承担更大的责任，充分发挥企业与行业专家在规划实施、行业发展中的作用。</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3.</w:t>
      </w:r>
      <w:r>
        <w:rPr>
          <w:rFonts w:ascii="Times New Roman" w:eastAsia="仿宋" w:hAnsi="Times New Roman"/>
          <w:kern w:val="0"/>
          <w:sz w:val="32"/>
          <w:szCs w:val="32"/>
        </w:rPr>
        <w:t>完善相关政策支持，加强行业自律管理，完善相关产业政策，明确行业协会在行业自律、反映行业诉求、营造公平竞争环境、推动行业诚信建设、建立健全行业职业道德准则等方面的作用。</w:t>
      </w:r>
    </w:p>
    <w:p w:rsidR="00D74912" w:rsidRDefault="00FE7708">
      <w:pPr>
        <w:adjustRightInd w:val="0"/>
        <w:snapToGrid w:val="0"/>
        <w:spacing w:line="360" w:lineRule="auto"/>
        <w:ind w:firstLineChars="200" w:firstLine="643"/>
        <w:outlineLvl w:val="2"/>
        <w:rPr>
          <w:rFonts w:ascii="Times New Roman" w:eastAsia="楷体" w:hAnsi="Times New Roman"/>
          <w:b/>
          <w:sz w:val="32"/>
          <w:szCs w:val="27"/>
        </w:rPr>
      </w:pPr>
      <w:bookmarkStart w:id="251" w:name="_Toc89203816"/>
      <w:bookmarkStart w:id="252" w:name="_Toc2155"/>
      <w:r>
        <w:rPr>
          <w:rFonts w:ascii="Times New Roman" w:eastAsia="楷体" w:hAnsi="Times New Roman"/>
          <w:b/>
          <w:sz w:val="32"/>
          <w:szCs w:val="27"/>
        </w:rPr>
        <w:t>（三）推进行业诚信体系建设</w:t>
      </w:r>
      <w:bookmarkEnd w:id="251"/>
      <w:bookmarkEnd w:id="252"/>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1.</w:t>
      </w:r>
      <w:r>
        <w:rPr>
          <w:rFonts w:ascii="Times New Roman" w:eastAsia="仿宋" w:hAnsi="Times New Roman"/>
          <w:kern w:val="0"/>
          <w:sz w:val="32"/>
          <w:szCs w:val="32"/>
        </w:rPr>
        <w:t>开展诚信建设专题宣传，积极营造诚信建设的舆论氛围，加强地区间、行业间、企业间交流，及时借鉴、学习、总结开展信用建设和信用监管的好经验、好做法。</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2.</w:t>
      </w:r>
      <w:r>
        <w:rPr>
          <w:rFonts w:ascii="Times New Roman" w:eastAsia="仿宋" w:hAnsi="Times New Roman"/>
          <w:kern w:val="0"/>
          <w:sz w:val="32"/>
          <w:szCs w:val="32"/>
        </w:rPr>
        <w:t>建立钦州市散装水泥行业企业名录管理制度，推进行业诚信体系建设，鼓励诚信行为、惩治失信行为，探索将设立无专业承包资质预拌混凝土生产站点违规经营、为无专业承包资质站点提供便利等情形列入违法失信企业名单或失信被执行人名单管理，确保散装水泥、预拌混凝土和预拌砂浆产业的可持续健康发展。</w:t>
      </w:r>
    </w:p>
    <w:p w:rsidR="00D74912" w:rsidRDefault="00D74912">
      <w:pPr>
        <w:rPr>
          <w:rFonts w:ascii="Times New Roman" w:hAnsi="Times New Roman"/>
        </w:rPr>
      </w:pPr>
    </w:p>
    <w:p w:rsidR="00D74912" w:rsidRDefault="00FE7708">
      <w:pPr>
        <w:pStyle w:val="2"/>
        <w:jc w:val="center"/>
        <w:outlineLvl w:val="0"/>
        <w:rPr>
          <w:rFonts w:ascii="Times New Roman" w:eastAsia="黑体" w:hAnsi="Times New Roman"/>
          <w:kern w:val="0"/>
          <w:sz w:val="36"/>
          <w:szCs w:val="36"/>
        </w:rPr>
      </w:pPr>
      <w:r>
        <w:rPr>
          <w:rFonts w:ascii="Times New Roman" w:hAnsi="Times New Roman" w:hint="eastAsia"/>
        </w:rPr>
        <w:t>（重点任务针对性不强，放之四海皆准）</w:t>
      </w:r>
      <w:r>
        <w:rPr>
          <w:rFonts w:ascii="Times New Roman" w:hAnsi="Times New Roman"/>
        </w:rPr>
        <w:br w:type="page"/>
      </w:r>
      <w:bookmarkStart w:id="253" w:name="_Toc26226"/>
      <w:bookmarkStart w:id="254" w:name="_Toc765"/>
      <w:bookmarkStart w:id="255" w:name="_Toc13949"/>
      <w:bookmarkStart w:id="256" w:name="_Toc10328"/>
      <w:bookmarkStart w:id="257" w:name="_Toc89203817"/>
      <w:bookmarkStart w:id="258" w:name="_Toc7373"/>
      <w:bookmarkStart w:id="259" w:name="_Toc14717"/>
      <w:bookmarkStart w:id="260" w:name="_Toc5108"/>
      <w:bookmarkStart w:id="261" w:name="_Toc15637"/>
      <w:bookmarkStart w:id="262" w:name="_Toc14775"/>
      <w:bookmarkStart w:id="263" w:name="_Toc32084"/>
      <w:bookmarkStart w:id="264" w:name="_Toc18991"/>
      <w:bookmarkStart w:id="265" w:name="_Toc24975"/>
      <w:bookmarkStart w:id="266" w:name="_Toc19295"/>
      <w:r>
        <w:rPr>
          <w:rFonts w:ascii="Times New Roman" w:eastAsia="黑体" w:hAnsi="Times New Roman"/>
          <w:kern w:val="0"/>
          <w:sz w:val="36"/>
          <w:szCs w:val="36"/>
        </w:rPr>
        <w:lastRenderedPageBreak/>
        <w:t>第五章</w:t>
      </w:r>
      <w:r>
        <w:rPr>
          <w:rFonts w:ascii="Times New Roman" w:eastAsia="黑体" w:hAnsi="Times New Roman"/>
          <w:kern w:val="0"/>
          <w:sz w:val="36"/>
          <w:szCs w:val="36"/>
        </w:rPr>
        <w:t xml:space="preserve"> </w:t>
      </w:r>
      <w:r>
        <w:rPr>
          <w:rFonts w:ascii="Times New Roman" w:eastAsia="黑体" w:hAnsi="Times New Roman"/>
          <w:kern w:val="0"/>
          <w:sz w:val="36"/>
          <w:szCs w:val="36"/>
        </w:rPr>
        <w:t>规范条件与布局规划</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D74912" w:rsidRDefault="00FE7708">
      <w:pPr>
        <w:numPr>
          <w:ilvl w:val="0"/>
          <w:numId w:val="2"/>
        </w:numPr>
        <w:ind w:firstLineChars="200" w:firstLine="640"/>
        <w:outlineLvl w:val="1"/>
        <w:rPr>
          <w:rFonts w:ascii="Times New Roman" w:eastAsia="黑体" w:hAnsi="Times New Roman"/>
          <w:kern w:val="0"/>
          <w:sz w:val="32"/>
          <w:szCs w:val="32"/>
        </w:rPr>
      </w:pPr>
      <w:bookmarkStart w:id="267" w:name="_Toc18261"/>
      <w:bookmarkStart w:id="268" w:name="_Toc1169"/>
      <w:bookmarkStart w:id="269" w:name="_Toc1932"/>
      <w:r>
        <w:rPr>
          <w:rFonts w:ascii="Times New Roman" w:eastAsia="黑体" w:hAnsi="Times New Roman"/>
          <w:kern w:val="0"/>
          <w:sz w:val="32"/>
          <w:szCs w:val="32"/>
        </w:rPr>
        <w:t>行业规范条件</w:t>
      </w:r>
      <w:bookmarkEnd w:id="267"/>
      <w:bookmarkEnd w:id="268"/>
      <w:bookmarkEnd w:id="269"/>
    </w:p>
    <w:p w:rsidR="00D74912" w:rsidRDefault="00FE7708">
      <w:pPr>
        <w:ind w:firstLineChars="100" w:firstLine="321"/>
        <w:outlineLvl w:val="2"/>
        <w:rPr>
          <w:rFonts w:ascii="Times New Roman" w:eastAsia="楷体" w:hAnsi="Times New Roman"/>
          <w:b/>
          <w:sz w:val="32"/>
          <w:szCs w:val="32"/>
        </w:rPr>
      </w:pPr>
      <w:bookmarkStart w:id="270" w:name="_Toc9214"/>
      <w:r>
        <w:rPr>
          <w:rFonts w:ascii="Times New Roman" w:eastAsia="楷体" w:hAnsi="Times New Roman"/>
          <w:b/>
          <w:sz w:val="32"/>
          <w:szCs w:val="32"/>
        </w:rPr>
        <w:t>（一）</w:t>
      </w:r>
      <w:bookmarkEnd w:id="270"/>
      <w:r>
        <w:rPr>
          <w:rFonts w:ascii="Times New Roman" w:eastAsia="楷体" w:hAnsi="Times New Roman"/>
          <w:b/>
          <w:sz w:val="32"/>
          <w:szCs w:val="32"/>
        </w:rPr>
        <w:t>选址要求</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预拌混凝土生产站点和从事预拌砂浆生产的企业及预拌砂浆生产站点的设立，应当符合相关法律法规、国土空间规划、行业发展规划和环境保护的要求。</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下列区域不得设立预拌混凝土和预拌砂浆生产站点：</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）住宅小区、学校、医院等人口密集的公共场所周边</w:t>
      </w:r>
      <w:r>
        <w:rPr>
          <w:rFonts w:ascii="Times New Roman" w:eastAsia="仿宋" w:hAnsi="Times New Roman"/>
          <w:sz w:val="32"/>
          <w:szCs w:val="32"/>
        </w:rPr>
        <w:t>500</w:t>
      </w:r>
      <w:r>
        <w:rPr>
          <w:rFonts w:ascii="Times New Roman" w:eastAsia="仿宋" w:hAnsi="Times New Roman"/>
          <w:sz w:val="32"/>
          <w:szCs w:val="32"/>
        </w:rPr>
        <w:t>米以内；</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）风景区周边</w:t>
      </w:r>
      <w:r>
        <w:rPr>
          <w:rFonts w:ascii="Times New Roman" w:eastAsia="仿宋" w:hAnsi="Times New Roman"/>
          <w:sz w:val="32"/>
          <w:szCs w:val="32"/>
        </w:rPr>
        <w:t>500</w:t>
      </w:r>
      <w:r>
        <w:rPr>
          <w:rFonts w:ascii="Times New Roman" w:eastAsia="仿宋" w:hAnsi="Times New Roman"/>
          <w:sz w:val="32"/>
          <w:szCs w:val="32"/>
        </w:rPr>
        <w:t>米以内；</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）饮用水水源保护区、风景名胜区、自然保护区、世界文化和自然遗产地、基本农田保护区，以居住、医疗卫生、文化教育、科研、行政办公等为主要功能的区域，以及文物保护单位等环境敏感区。</w:t>
      </w:r>
    </w:p>
    <w:p w:rsidR="00D74912" w:rsidRDefault="00FE7708">
      <w:pPr>
        <w:spacing w:line="360" w:lineRule="auto"/>
        <w:ind w:firstLineChars="200" w:firstLine="640"/>
        <w:rPr>
          <w:rFonts w:ascii="Times New Roman" w:hAnsi="Times New Roman"/>
        </w:rPr>
      </w:pPr>
      <w:r>
        <w:rPr>
          <w:rFonts w:ascii="Times New Roman" w:eastAsia="仿宋" w:hAnsi="Times New Roman"/>
          <w:sz w:val="32"/>
          <w:szCs w:val="32"/>
        </w:rPr>
        <w:t>位于上述范围内的现有生产站点，在规划期内，应按照《钦州市预拌混凝土和预拌砂浆暂行管理办法》有关要求逐步关闭或者外迁。</w:t>
      </w:r>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（二）建设标准</w:t>
      </w:r>
    </w:p>
    <w:p w:rsidR="00D74912" w:rsidRDefault="00FE7708">
      <w:pPr>
        <w:spacing w:line="360" w:lineRule="auto"/>
        <w:ind w:firstLineChars="200" w:firstLine="643"/>
        <w:rPr>
          <w:rFonts w:ascii="Times New Roman" w:eastAsia="仿宋" w:hAnsi="Times New Roman"/>
          <w:b/>
          <w:bCs/>
          <w:sz w:val="32"/>
          <w:szCs w:val="32"/>
        </w:rPr>
      </w:pPr>
      <w:r>
        <w:rPr>
          <w:rFonts w:ascii="Times New Roman" w:eastAsia="仿宋" w:hAnsi="Times New Roman"/>
          <w:b/>
          <w:bCs/>
          <w:sz w:val="32"/>
          <w:szCs w:val="32"/>
        </w:rPr>
        <w:t>1.</w:t>
      </w:r>
      <w:r>
        <w:rPr>
          <w:rFonts w:ascii="Times New Roman" w:eastAsia="仿宋" w:hAnsi="Times New Roman"/>
          <w:b/>
          <w:bCs/>
          <w:sz w:val="32"/>
          <w:szCs w:val="32"/>
        </w:rPr>
        <w:t>预拌混凝土生产项目建设标准（含新建、迁建）</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）县（区）中心城区的预拌混凝土生产项目单条生产线规模应大于或等于</w:t>
      </w:r>
      <w:r>
        <w:rPr>
          <w:rFonts w:ascii="Times New Roman" w:eastAsia="仿宋" w:hAnsi="Times New Roman"/>
          <w:sz w:val="32"/>
          <w:szCs w:val="32"/>
        </w:rPr>
        <w:t>180</w:t>
      </w:r>
      <w:r>
        <w:rPr>
          <w:rFonts w:ascii="Times New Roman" w:eastAsia="仿宋" w:hAnsi="Times New Roman"/>
          <w:sz w:val="32"/>
          <w:szCs w:val="32"/>
        </w:rPr>
        <w:t>立方米</w:t>
      </w:r>
      <w:r>
        <w:rPr>
          <w:rFonts w:ascii="Times New Roman" w:eastAsia="仿宋" w:hAnsi="Times New Roman"/>
          <w:sz w:val="32"/>
          <w:szCs w:val="32"/>
        </w:rPr>
        <w:t>/</w:t>
      </w:r>
      <w:r>
        <w:rPr>
          <w:rFonts w:ascii="Times New Roman" w:eastAsia="仿宋" w:hAnsi="Times New Roman"/>
          <w:sz w:val="32"/>
          <w:szCs w:val="32"/>
        </w:rPr>
        <w:t>小时（搅拌机公称容量：</w:t>
      </w:r>
      <w:r>
        <w:rPr>
          <w:rFonts w:ascii="Times New Roman" w:eastAsia="仿宋" w:hAnsi="Times New Roman"/>
          <w:sz w:val="32"/>
          <w:szCs w:val="32"/>
        </w:rPr>
        <w:t>3</w:t>
      </w:r>
      <w:r>
        <w:rPr>
          <w:rFonts w:ascii="Times New Roman" w:eastAsia="仿宋" w:hAnsi="Times New Roman"/>
          <w:sz w:val="32"/>
          <w:szCs w:val="32"/>
        </w:rPr>
        <w:t>立方米）；服务乡镇农村市场，且选址不在县（区）中心</w:t>
      </w:r>
      <w:r>
        <w:rPr>
          <w:rFonts w:ascii="Times New Roman" w:eastAsia="仿宋" w:hAnsi="Times New Roman"/>
          <w:sz w:val="32"/>
          <w:szCs w:val="32"/>
        </w:rPr>
        <w:lastRenderedPageBreak/>
        <w:t>城区的预拌混凝土生产项目单条生产线规模应大于或等于</w:t>
      </w:r>
      <w:r>
        <w:rPr>
          <w:rFonts w:ascii="Times New Roman" w:eastAsia="仿宋" w:hAnsi="Times New Roman"/>
          <w:sz w:val="32"/>
          <w:szCs w:val="32"/>
        </w:rPr>
        <w:t>120</w:t>
      </w:r>
      <w:r>
        <w:rPr>
          <w:rFonts w:ascii="Times New Roman" w:eastAsia="仿宋" w:hAnsi="Times New Roman"/>
          <w:sz w:val="32"/>
          <w:szCs w:val="32"/>
        </w:rPr>
        <w:t>立方米</w:t>
      </w:r>
      <w:r>
        <w:rPr>
          <w:rFonts w:ascii="Times New Roman" w:eastAsia="仿宋" w:hAnsi="Times New Roman"/>
          <w:sz w:val="32"/>
          <w:szCs w:val="32"/>
        </w:rPr>
        <w:t>/</w:t>
      </w:r>
      <w:r>
        <w:rPr>
          <w:rFonts w:ascii="Times New Roman" w:eastAsia="仿宋" w:hAnsi="Times New Roman"/>
          <w:sz w:val="32"/>
          <w:szCs w:val="32"/>
        </w:rPr>
        <w:t>小时（搅拌机公称容量：</w:t>
      </w:r>
      <w:r>
        <w:rPr>
          <w:rFonts w:ascii="Times New Roman" w:eastAsia="仿宋" w:hAnsi="Times New Roman"/>
          <w:sz w:val="32"/>
          <w:szCs w:val="32"/>
        </w:rPr>
        <w:t>2</w:t>
      </w:r>
      <w:r>
        <w:rPr>
          <w:rFonts w:ascii="Times New Roman" w:eastAsia="仿宋" w:hAnsi="Times New Roman"/>
          <w:sz w:val="32"/>
          <w:szCs w:val="32"/>
        </w:rPr>
        <w:t>立方米）。</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）预拌混凝土生产项目应满足绿色生产要求，企业生产和项目管理应满足《预拌混凝土绿色生产及管理技术规程》</w:t>
      </w:r>
      <w:r>
        <w:rPr>
          <w:rFonts w:ascii="Times New Roman" w:eastAsia="仿宋" w:hAnsi="Times New Roman"/>
          <w:sz w:val="32"/>
          <w:szCs w:val="32"/>
        </w:rPr>
        <w:t>JGJ/T 328</w:t>
      </w:r>
      <w:r>
        <w:rPr>
          <w:rFonts w:ascii="Times New Roman" w:eastAsia="仿宋" w:hAnsi="Times New Roman"/>
          <w:sz w:val="32"/>
          <w:szCs w:val="32"/>
        </w:rPr>
        <w:t>的要求和钦州市预拌混凝土绿色生产管理有关规定，其中新建（含迁建）项目，需达到绿色二星级及以上水平，现有的预拌混凝土搅拌站在规划期内应开展绿色评价，进行清洁化生产改造，需达到绿色一星级及以上水平。</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）预拌混凝土生产项目的生产质量、工艺、装备和试验室建设，应符合国家、自治区相关标准和管理规定，同时质量控制过程推荐实施信息化管理，提升数字化制造水平。</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）预拌混凝土生产项目搅拌站（楼）建设应采用整体封闭方式，安装除尘装置。推荐采用远程</w:t>
      </w:r>
      <w:r>
        <w:rPr>
          <w:rFonts w:ascii="Times New Roman" w:eastAsia="仿宋" w:hAnsi="Times New Roman"/>
          <w:sz w:val="32"/>
          <w:szCs w:val="32"/>
        </w:rPr>
        <w:t>PLC</w:t>
      </w:r>
      <w:r>
        <w:rPr>
          <w:rFonts w:ascii="Times New Roman" w:eastAsia="仿宋" w:hAnsi="Times New Roman"/>
          <w:sz w:val="32"/>
          <w:szCs w:val="32"/>
        </w:rPr>
        <w:t>操作控制系统和</w:t>
      </w:r>
      <w:r>
        <w:rPr>
          <w:rFonts w:ascii="Times New Roman" w:eastAsia="仿宋" w:hAnsi="Times New Roman"/>
          <w:sz w:val="32"/>
          <w:szCs w:val="32"/>
        </w:rPr>
        <w:t>MES</w:t>
      </w:r>
      <w:r>
        <w:rPr>
          <w:rFonts w:ascii="Times New Roman" w:eastAsia="仿宋" w:hAnsi="Times New Roman"/>
          <w:sz w:val="32"/>
          <w:szCs w:val="32"/>
        </w:rPr>
        <w:t>智能执行制造系统。</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5</w:t>
      </w:r>
      <w:r>
        <w:rPr>
          <w:rFonts w:ascii="Times New Roman" w:eastAsia="仿宋" w:hAnsi="Times New Roman"/>
          <w:sz w:val="32"/>
          <w:szCs w:val="32"/>
        </w:rPr>
        <w:t>）预拌混凝土生产项目应进行能耗评估，其中单位产品能耗应不大于《预拌混凝土单位产品能源消耗限额》</w:t>
      </w:r>
      <w:r>
        <w:rPr>
          <w:rFonts w:ascii="Times New Roman" w:eastAsia="仿宋" w:hAnsi="Times New Roman"/>
          <w:sz w:val="32"/>
          <w:szCs w:val="32"/>
        </w:rPr>
        <w:t>GB36888</w:t>
      </w:r>
      <w:r>
        <w:rPr>
          <w:rFonts w:ascii="Times New Roman" w:eastAsia="仿宋" w:hAnsi="Times New Roman"/>
          <w:sz w:val="32"/>
          <w:szCs w:val="32"/>
        </w:rPr>
        <w:t>标准规定的</w:t>
      </w:r>
      <w:r>
        <w:rPr>
          <w:rFonts w:ascii="Times New Roman" w:eastAsia="仿宋" w:hAnsi="Times New Roman"/>
          <w:sz w:val="32"/>
          <w:szCs w:val="32"/>
        </w:rPr>
        <w:t>2</w:t>
      </w:r>
      <w:r>
        <w:rPr>
          <w:rFonts w:ascii="Times New Roman" w:eastAsia="仿宋" w:hAnsi="Times New Roman"/>
          <w:sz w:val="32"/>
          <w:szCs w:val="32"/>
        </w:rPr>
        <w:t>级能耗限额要求，即生产能耗不大于</w:t>
      </w:r>
      <w:r>
        <w:rPr>
          <w:rFonts w:ascii="Times New Roman" w:eastAsia="仿宋" w:hAnsi="Times New Roman"/>
          <w:sz w:val="32"/>
          <w:szCs w:val="32"/>
        </w:rPr>
        <w:t>0.7</w:t>
      </w:r>
      <w:r>
        <w:rPr>
          <w:rFonts w:ascii="Times New Roman" w:eastAsia="仿宋" w:hAnsi="Times New Roman"/>
          <w:sz w:val="32"/>
          <w:szCs w:val="32"/>
        </w:rPr>
        <w:t>公斤标煤</w:t>
      </w:r>
      <w:r>
        <w:rPr>
          <w:rFonts w:ascii="Times New Roman" w:eastAsia="仿宋" w:hAnsi="Times New Roman"/>
          <w:sz w:val="32"/>
          <w:szCs w:val="32"/>
        </w:rPr>
        <w:t>/</w:t>
      </w:r>
      <w:r>
        <w:rPr>
          <w:rFonts w:ascii="Times New Roman" w:eastAsia="仿宋" w:hAnsi="Times New Roman"/>
          <w:sz w:val="32"/>
          <w:szCs w:val="32"/>
        </w:rPr>
        <w:t>立方米，运输能耗不大于</w:t>
      </w:r>
      <w:r>
        <w:rPr>
          <w:rFonts w:ascii="Times New Roman" w:eastAsia="仿宋" w:hAnsi="Times New Roman"/>
          <w:sz w:val="32"/>
          <w:szCs w:val="32"/>
        </w:rPr>
        <w:t>2.65</w:t>
      </w:r>
      <w:r>
        <w:rPr>
          <w:rFonts w:ascii="Times New Roman" w:eastAsia="仿宋" w:hAnsi="Times New Roman"/>
          <w:sz w:val="32"/>
          <w:szCs w:val="32"/>
        </w:rPr>
        <w:t>公斤标煤</w:t>
      </w:r>
      <w:r>
        <w:rPr>
          <w:rFonts w:ascii="Times New Roman" w:eastAsia="仿宋" w:hAnsi="Times New Roman"/>
          <w:sz w:val="32"/>
          <w:szCs w:val="32"/>
        </w:rPr>
        <w:t>/</w:t>
      </w:r>
      <w:r>
        <w:rPr>
          <w:rFonts w:ascii="Times New Roman" w:eastAsia="仿宋" w:hAnsi="Times New Roman"/>
          <w:sz w:val="32"/>
          <w:szCs w:val="32"/>
        </w:rPr>
        <w:t>立方米。</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6</w:t>
      </w:r>
      <w:r>
        <w:rPr>
          <w:rFonts w:ascii="Times New Roman" w:eastAsia="仿宋" w:hAnsi="Times New Roman"/>
          <w:sz w:val="32"/>
          <w:szCs w:val="32"/>
        </w:rPr>
        <w:t>）规划期内，国家、自治区颁布有最新标准、规定、规章等法律法规的从其标准和规定。</w:t>
      </w:r>
    </w:p>
    <w:p w:rsidR="00D74912" w:rsidRDefault="00FE7708">
      <w:pPr>
        <w:pStyle w:val="2"/>
        <w:rPr>
          <w:rFonts w:ascii="Times New Roman" w:eastAsia="仿宋" w:hAnsi="Times New Roman"/>
          <w:b/>
          <w:bCs/>
          <w:sz w:val="32"/>
          <w:szCs w:val="32"/>
        </w:rPr>
      </w:pPr>
      <w:r>
        <w:rPr>
          <w:rFonts w:ascii="Times New Roman" w:eastAsia="仿宋" w:hAnsi="Times New Roman"/>
          <w:b/>
          <w:bCs/>
          <w:sz w:val="32"/>
          <w:szCs w:val="32"/>
        </w:rPr>
        <w:t>2.</w:t>
      </w:r>
      <w:r>
        <w:rPr>
          <w:rFonts w:ascii="Times New Roman" w:eastAsia="仿宋" w:hAnsi="Times New Roman"/>
          <w:b/>
          <w:bCs/>
          <w:sz w:val="32"/>
          <w:szCs w:val="32"/>
        </w:rPr>
        <w:t>预拌砂浆生产项目建设标准（含新建、迁建）</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lastRenderedPageBreak/>
        <w:t>（</w:t>
      </w:r>
      <w:r>
        <w:rPr>
          <w:rFonts w:ascii="Times New Roman" w:eastAsia="仿宋" w:hAnsi="Times New Roman"/>
          <w:sz w:val="32"/>
          <w:szCs w:val="32"/>
        </w:rPr>
        <w:t>1</w:t>
      </w:r>
      <w:r>
        <w:rPr>
          <w:rFonts w:ascii="Times New Roman" w:eastAsia="仿宋" w:hAnsi="Times New Roman"/>
          <w:sz w:val="32"/>
          <w:szCs w:val="32"/>
        </w:rPr>
        <w:t>）新建预拌砂浆项目应满足绿色（清洁化）生产要求，应按照《预拌砂浆》（</w:t>
      </w:r>
      <w:r>
        <w:rPr>
          <w:rFonts w:ascii="Times New Roman" w:eastAsia="仿宋" w:hAnsi="Times New Roman"/>
          <w:sz w:val="32"/>
          <w:szCs w:val="32"/>
        </w:rPr>
        <w:t>GB/T25181</w:t>
      </w:r>
      <w:r>
        <w:rPr>
          <w:rFonts w:ascii="Times New Roman" w:eastAsia="仿宋" w:hAnsi="Times New Roman"/>
          <w:sz w:val="32"/>
          <w:szCs w:val="32"/>
        </w:rPr>
        <w:t>）、《预拌砂浆应用技术规程》（</w:t>
      </w:r>
      <w:r>
        <w:rPr>
          <w:rFonts w:ascii="Times New Roman" w:eastAsia="仿宋" w:hAnsi="Times New Roman"/>
          <w:sz w:val="32"/>
          <w:szCs w:val="32"/>
        </w:rPr>
        <w:t>JGJ/T223</w:t>
      </w:r>
      <w:r>
        <w:rPr>
          <w:rFonts w:ascii="Times New Roman" w:eastAsia="仿宋" w:hAnsi="Times New Roman"/>
          <w:sz w:val="32"/>
          <w:szCs w:val="32"/>
        </w:rPr>
        <w:t>）、《</w:t>
      </w:r>
      <w:hyperlink r:id="rId17" w:history="1">
        <w:r>
          <w:rPr>
            <w:rFonts w:ascii="Times New Roman" w:eastAsia="仿宋" w:hAnsi="Times New Roman"/>
            <w:sz w:val="32"/>
            <w:szCs w:val="32"/>
          </w:rPr>
          <w:t>干混砂浆生产工艺与应用技术规范</w:t>
        </w:r>
      </w:hyperlink>
      <w:r>
        <w:rPr>
          <w:rFonts w:ascii="Times New Roman" w:eastAsia="仿宋" w:hAnsi="Times New Roman"/>
          <w:sz w:val="32"/>
          <w:szCs w:val="32"/>
        </w:rPr>
        <w:t>》（</w:t>
      </w:r>
      <w:r>
        <w:rPr>
          <w:rFonts w:ascii="Times New Roman" w:eastAsia="仿宋" w:hAnsi="Times New Roman"/>
          <w:sz w:val="32"/>
          <w:szCs w:val="32"/>
        </w:rPr>
        <w:t>JC/T 2089</w:t>
      </w:r>
      <w:r>
        <w:rPr>
          <w:rFonts w:ascii="Times New Roman" w:eastAsia="仿宋" w:hAnsi="Times New Roman"/>
          <w:sz w:val="32"/>
          <w:szCs w:val="32"/>
        </w:rPr>
        <w:t>）等相关要求进行生产线的建设。</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）建设规模标准：发展区内单个干拌砂浆生产企业年设计能力不低于</w:t>
      </w:r>
      <w:r>
        <w:rPr>
          <w:rFonts w:ascii="Times New Roman" w:eastAsia="仿宋" w:hAnsi="Times New Roman"/>
          <w:sz w:val="32"/>
          <w:szCs w:val="32"/>
        </w:rPr>
        <w:t>30</w:t>
      </w:r>
      <w:r>
        <w:rPr>
          <w:rFonts w:ascii="Times New Roman" w:eastAsia="仿宋" w:hAnsi="Times New Roman"/>
          <w:sz w:val="32"/>
          <w:szCs w:val="32"/>
        </w:rPr>
        <w:t>万吨（包括中心城区，皇马工业园区，钦州港），县域企业年设计能力应不低于</w:t>
      </w:r>
      <w:r>
        <w:rPr>
          <w:rFonts w:ascii="Times New Roman" w:eastAsia="仿宋" w:hAnsi="Times New Roman"/>
          <w:sz w:val="32"/>
          <w:szCs w:val="32"/>
        </w:rPr>
        <w:t>20</w:t>
      </w:r>
      <w:r>
        <w:rPr>
          <w:rFonts w:ascii="Times New Roman" w:eastAsia="仿宋" w:hAnsi="Times New Roman"/>
          <w:sz w:val="32"/>
          <w:szCs w:val="32"/>
        </w:rPr>
        <w:t>万吨。</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）规划期内，国家、自治区颁布有最新标准、规定、规章等法律法规的，从其规定。</w:t>
      </w:r>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（三）管理要求</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新建、扩建、改建、迁建的预拌混凝土（砂浆）项目，由项目建设单位报辖区工业主管部门，经市工业主管部门按照规划和控制总量等要求出具《符合规划性审查》意见书，确认通过后到有关职能部门办理相关手续。</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）新建、扩建、改建、迁建的预拌混凝土（砂浆）项目，属于预拌混凝土企业的申请办理专业承包资质，属于预拌砂浆企业的申请办理备案登记。</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）预拌混凝土（砂浆）项目分别在依法取得预拌混凝土专业承包资质后方可生产、销售。</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）推行落后产能退出机制；严格执行节约能源法、环境保护法、产品质量法、建设工程安全生产管理条例等法律法规，对能源消耗、污染物排放、产品质量、安全生产条</w:t>
      </w:r>
      <w:r>
        <w:rPr>
          <w:rFonts w:ascii="Times New Roman" w:eastAsia="仿宋" w:hAnsi="Times New Roman"/>
          <w:sz w:val="32"/>
          <w:szCs w:val="32"/>
        </w:rPr>
        <w:lastRenderedPageBreak/>
        <w:t>件达不到相关法律法规和标准要求的预拌混凝土企业，由辖区政府组织工信、发改、住房城乡建设、自然资源、生态环境、市场监管等部门按职责依法提出限期整改的要求，对经整改仍不达标或不符合法律法规要求的，由辖区政府依法关停取缔。</w:t>
      </w:r>
    </w:p>
    <w:p w:rsidR="00D74912" w:rsidRDefault="00FE7708">
      <w:pPr>
        <w:ind w:firstLineChars="100" w:firstLine="320"/>
        <w:outlineLvl w:val="1"/>
        <w:rPr>
          <w:rFonts w:ascii="Times New Roman" w:eastAsia="楷体" w:hAnsi="Times New Roman"/>
          <w:sz w:val="32"/>
          <w:szCs w:val="32"/>
        </w:rPr>
      </w:pPr>
      <w:bookmarkStart w:id="271" w:name="_Toc13960"/>
      <w:bookmarkStart w:id="272" w:name="_Toc6917"/>
      <w:bookmarkStart w:id="273" w:name="_Toc16742"/>
      <w:r>
        <w:rPr>
          <w:rFonts w:ascii="Times New Roman" w:eastAsia="黑体" w:hAnsi="Times New Roman"/>
          <w:kern w:val="0"/>
          <w:sz w:val="32"/>
          <w:szCs w:val="32"/>
        </w:rPr>
        <w:t>二、预拌混凝土布局规划</w:t>
      </w:r>
      <w:bookmarkEnd w:id="271"/>
      <w:bookmarkEnd w:id="272"/>
      <w:bookmarkEnd w:id="273"/>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（一）布局原则</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1.</w:t>
      </w:r>
      <w:r>
        <w:rPr>
          <w:rFonts w:ascii="Times New Roman" w:eastAsia="仿宋" w:hAnsi="Times New Roman"/>
          <w:sz w:val="32"/>
          <w:szCs w:val="32"/>
        </w:rPr>
        <w:t>保障市场有序竞争、积极提高产能利用率，遵循供给与需求相平衡的原则，综合考虑预拌混凝土产品最佳服务半径进行布局，原则上预拌混凝土站点之间距离不宜小于</w:t>
      </w:r>
      <w:r>
        <w:rPr>
          <w:rFonts w:ascii="Times New Roman" w:eastAsia="仿宋" w:hAnsi="Times New Roman"/>
          <w:sz w:val="32"/>
          <w:szCs w:val="32"/>
        </w:rPr>
        <w:t>20</w:t>
      </w:r>
      <w:r>
        <w:rPr>
          <w:rFonts w:ascii="Times New Roman" w:eastAsia="仿宋" w:hAnsi="Times New Roman"/>
          <w:sz w:val="32"/>
          <w:szCs w:val="32"/>
        </w:rPr>
        <w:t>公里。</w:t>
      </w:r>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2.</w:t>
      </w:r>
      <w:r>
        <w:rPr>
          <w:rFonts w:ascii="Times New Roman" w:eastAsia="仿宋" w:hAnsi="Times New Roman"/>
          <w:sz w:val="32"/>
          <w:szCs w:val="32"/>
        </w:rPr>
        <w:t>实行总量控制原则，规划期内，新增预拌混凝土站点布点位置及数量应满足规划划分的片区及总量要求，未在规划新增布点区域范围内原则上不允许新建站点。</w:t>
      </w:r>
    </w:p>
    <w:p w:rsidR="00D74912" w:rsidRDefault="00FE7708">
      <w:pPr>
        <w:ind w:firstLineChars="100" w:firstLine="321"/>
        <w:outlineLvl w:val="2"/>
        <w:rPr>
          <w:rFonts w:ascii="Times New Roman" w:eastAsia="楷体" w:hAnsi="Times New Roman"/>
          <w:b/>
          <w:sz w:val="32"/>
          <w:szCs w:val="32"/>
        </w:rPr>
      </w:pPr>
      <w:r>
        <w:rPr>
          <w:rFonts w:ascii="Times New Roman" w:eastAsia="楷体" w:hAnsi="Times New Roman"/>
          <w:b/>
          <w:sz w:val="32"/>
          <w:szCs w:val="32"/>
        </w:rPr>
        <w:t>（二）布局方案</w:t>
      </w:r>
    </w:p>
    <w:p w:rsidR="00D74912" w:rsidRDefault="00FE7708">
      <w:pPr>
        <w:spacing w:line="360" w:lineRule="auto"/>
        <w:ind w:firstLineChars="200" w:firstLine="640"/>
        <w:rPr>
          <w:rFonts w:ascii="Times New Roman" w:eastAsia="仿宋" w:hAnsi="Times New Roman"/>
          <w:sz w:val="32"/>
          <w:szCs w:val="32"/>
        </w:rPr>
        <w:sectPr w:rsidR="00D74912">
          <w:pgSz w:w="11906" w:h="16838"/>
          <w:pgMar w:top="1440" w:right="1800" w:bottom="1440" w:left="1800" w:header="851" w:footer="992" w:gutter="0"/>
          <w:cols w:space="425"/>
          <w:docGrid w:type="lines" w:linePitch="312"/>
        </w:sectPr>
      </w:pPr>
      <w:r>
        <w:rPr>
          <w:rFonts w:ascii="Times New Roman" w:eastAsia="仿宋" w:hAnsi="Times New Roman"/>
          <w:sz w:val="32"/>
          <w:szCs w:val="32"/>
        </w:rPr>
        <w:t>规划期内，在现有预拌混凝土企业</w:t>
      </w:r>
      <w:r>
        <w:rPr>
          <w:rFonts w:ascii="Times New Roman" w:eastAsia="仿宋" w:hAnsi="Times New Roman"/>
          <w:sz w:val="32"/>
          <w:szCs w:val="32"/>
        </w:rPr>
        <w:t>47</w:t>
      </w:r>
      <w:r>
        <w:rPr>
          <w:rFonts w:ascii="Times New Roman" w:eastAsia="仿宋" w:hAnsi="Times New Roman"/>
          <w:sz w:val="32"/>
          <w:szCs w:val="32"/>
        </w:rPr>
        <w:t>个基础上，全市规划增加站点总量控制在</w:t>
      </w:r>
      <w:r>
        <w:rPr>
          <w:rFonts w:ascii="Times New Roman" w:eastAsia="仿宋" w:hAnsi="Times New Roman"/>
          <w:sz w:val="32"/>
          <w:szCs w:val="32"/>
        </w:rPr>
        <w:t>3</w:t>
      </w:r>
      <w:r>
        <w:rPr>
          <w:rFonts w:ascii="Times New Roman" w:eastAsia="仿宋" w:hAnsi="Times New Roman"/>
          <w:sz w:val="32"/>
          <w:szCs w:val="32"/>
        </w:rPr>
        <w:t>个以内，新增站点主要分布在乡镇地区，至</w:t>
      </w:r>
      <w:r>
        <w:rPr>
          <w:rFonts w:ascii="Times New Roman" w:eastAsia="仿宋" w:hAnsi="Times New Roman"/>
          <w:sz w:val="32"/>
          <w:szCs w:val="32"/>
        </w:rPr>
        <w:t>2025</w:t>
      </w:r>
      <w:r>
        <w:rPr>
          <w:rFonts w:ascii="Times New Roman" w:eastAsia="仿宋" w:hAnsi="Times New Roman"/>
          <w:sz w:val="32"/>
          <w:szCs w:val="32"/>
        </w:rPr>
        <w:t>年末，全市预拌混凝土企业控制在</w:t>
      </w:r>
      <w:r>
        <w:rPr>
          <w:rFonts w:ascii="Times New Roman" w:eastAsia="仿宋" w:hAnsi="Times New Roman"/>
          <w:sz w:val="32"/>
          <w:szCs w:val="32"/>
        </w:rPr>
        <w:t>50</w:t>
      </w:r>
      <w:r>
        <w:rPr>
          <w:rFonts w:ascii="Times New Roman" w:eastAsia="仿宋" w:hAnsi="Times New Roman"/>
          <w:sz w:val="32"/>
          <w:szCs w:val="32"/>
        </w:rPr>
        <w:t>个以内。全市预拌混凝土搅拌站的布点方案如表</w:t>
      </w:r>
      <w:r>
        <w:rPr>
          <w:rFonts w:ascii="Times New Roman" w:eastAsia="仿宋" w:hAnsi="Times New Roman"/>
          <w:sz w:val="32"/>
          <w:szCs w:val="32"/>
        </w:rPr>
        <w:t>5-1</w:t>
      </w:r>
      <w:r>
        <w:rPr>
          <w:rFonts w:ascii="Times New Roman" w:eastAsia="仿宋" w:hAnsi="Times New Roman"/>
          <w:sz w:val="32"/>
          <w:szCs w:val="32"/>
        </w:rPr>
        <w:t>和图</w:t>
      </w:r>
      <w:r>
        <w:rPr>
          <w:rFonts w:ascii="Times New Roman" w:eastAsia="仿宋" w:hAnsi="Times New Roman"/>
          <w:sz w:val="32"/>
          <w:szCs w:val="32"/>
        </w:rPr>
        <w:t>5-1</w:t>
      </w:r>
      <w:r>
        <w:rPr>
          <w:rFonts w:ascii="Times New Roman" w:eastAsia="仿宋" w:hAnsi="Times New Roman"/>
          <w:sz w:val="32"/>
          <w:szCs w:val="32"/>
        </w:rPr>
        <w:t>所示。</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lastRenderedPageBreak/>
        <w:t>表</w:t>
      </w:r>
      <w:r>
        <w:rPr>
          <w:rFonts w:ascii="Times New Roman" w:eastAsia="仿宋" w:hAnsi="Times New Roman"/>
          <w:b/>
          <w:bCs/>
          <w:color w:val="000000" w:themeColor="text1"/>
          <w:sz w:val="24"/>
          <w:szCs w:val="24"/>
        </w:rPr>
        <w:t>5-1</w:t>
      </w:r>
      <w:r>
        <w:rPr>
          <w:rFonts w:ascii="Times New Roman" w:eastAsia="仿宋" w:hAnsi="Times New Roman"/>
          <w:b/>
          <w:bCs/>
          <w:color w:val="000000" w:themeColor="text1"/>
          <w:sz w:val="24"/>
          <w:szCs w:val="24"/>
        </w:rPr>
        <w:t>钦州市预拌混凝土新增站点规划布局方案</w:t>
      </w:r>
      <w:r>
        <w:rPr>
          <w:rFonts w:ascii="Times New Roman" w:eastAsia="仿宋" w:hAnsi="Times New Roman" w:hint="eastAsia"/>
          <w:b/>
          <w:bCs/>
          <w:color w:val="000000" w:themeColor="text1"/>
          <w:sz w:val="24"/>
          <w:szCs w:val="24"/>
        </w:rPr>
        <w:t>（</w:t>
      </w:r>
      <w:r>
        <w:rPr>
          <w:rFonts w:ascii="Times New Roman" w:eastAsia="仿宋" w:hAnsi="Times New Roman" w:hint="eastAsia"/>
          <w:b/>
          <w:bCs/>
          <w:color w:val="000000" w:themeColor="text1"/>
          <w:sz w:val="24"/>
          <w:szCs w:val="24"/>
        </w:rPr>
        <w:t>2021-2025</w:t>
      </w:r>
      <w:r>
        <w:rPr>
          <w:rFonts w:ascii="Times New Roman" w:eastAsia="仿宋" w:hAnsi="Times New Roman" w:hint="eastAsia"/>
          <w:b/>
          <w:bCs/>
          <w:color w:val="000000" w:themeColor="text1"/>
          <w:sz w:val="24"/>
          <w:szCs w:val="24"/>
        </w:rPr>
        <w:t>年）</w:t>
      </w:r>
    </w:p>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6"/>
        <w:gridCol w:w="1035"/>
        <w:gridCol w:w="1381"/>
        <w:gridCol w:w="1908"/>
        <w:gridCol w:w="1443"/>
        <w:gridCol w:w="1772"/>
        <w:gridCol w:w="1395"/>
        <w:gridCol w:w="1726"/>
        <w:gridCol w:w="2537"/>
      </w:tblGrid>
      <w:tr w:rsidR="00D74912">
        <w:trPr>
          <w:trHeight w:val="346"/>
        </w:trPr>
        <w:tc>
          <w:tcPr>
            <w:tcW w:w="966" w:type="dxa"/>
            <w:vMerge w:val="restart"/>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布点</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区域</w:t>
            </w:r>
          </w:p>
        </w:tc>
        <w:tc>
          <w:tcPr>
            <w:tcW w:w="1035" w:type="dxa"/>
            <w:vMerge w:val="restart"/>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片区划分</w:t>
            </w:r>
          </w:p>
        </w:tc>
        <w:tc>
          <w:tcPr>
            <w:tcW w:w="3289" w:type="dxa"/>
            <w:gridSpan w:val="2"/>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现有量</w:t>
            </w:r>
          </w:p>
        </w:tc>
        <w:tc>
          <w:tcPr>
            <w:tcW w:w="3215" w:type="dxa"/>
            <w:gridSpan w:val="2"/>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规划期新增</w:t>
            </w:r>
          </w:p>
        </w:tc>
        <w:tc>
          <w:tcPr>
            <w:tcW w:w="3121" w:type="dxa"/>
            <w:gridSpan w:val="2"/>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2025</w:t>
            </w:r>
            <w:r>
              <w:rPr>
                <w:rFonts w:ascii="Times New Roman" w:eastAsia="仿宋" w:hAnsi="Times New Roman"/>
                <w:b/>
                <w:bCs/>
                <w:color w:val="000000" w:themeColor="text1"/>
                <w:sz w:val="24"/>
                <w:szCs w:val="24"/>
              </w:rPr>
              <w:t>年控制量</w:t>
            </w:r>
          </w:p>
        </w:tc>
        <w:tc>
          <w:tcPr>
            <w:tcW w:w="2537" w:type="dxa"/>
            <w:vMerge w:val="restart"/>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辐射范围</w:t>
            </w:r>
          </w:p>
        </w:tc>
      </w:tr>
      <w:tr w:rsidR="00D74912">
        <w:trPr>
          <w:trHeight w:val="346"/>
        </w:trPr>
        <w:tc>
          <w:tcPr>
            <w:tcW w:w="966" w:type="dxa"/>
            <w:vMerge/>
            <w:noWrap/>
            <w:vAlign w:val="center"/>
          </w:tcPr>
          <w:p w:rsidR="00D74912" w:rsidRDefault="00D74912">
            <w:pPr>
              <w:adjustRightInd w:val="0"/>
              <w:snapToGrid w:val="0"/>
              <w:jc w:val="center"/>
              <w:rPr>
                <w:rFonts w:ascii="Times New Roman" w:eastAsia="仿宋" w:hAnsi="Times New Roman"/>
                <w:b/>
                <w:bCs/>
                <w:color w:val="000000" w:themeColor="text1"/>
                <w:sz w:val="24"/>
                <w:szCs w:val="24"/>
              </w:rPr>
            </w:pPr>
          </w:p>
        </w:tc>
        <w:tc>
          <w:tcPr>
            <w:tcW w:w="1035" w:type="dxa"/>
            <w:vMerge/>
            <w:noWrap/>
            <w:vAlign w:val="center"/>
          </w:tcPr>
          <w:p w:rsidR="00D74912" w:rsidRDefault="00D74912">
            <w:pPr>
              <w:adjustRightInd w:val="0"/>
              <w:snapToGrid w:val="0"/>
              <w:jc w:val="center"/>
              <w:rPr>
                <w:rFonts w:ascii="Times New Roman" w:eastAsia="仿宋" w:hAnsi="Times New Roman"/>
                <w:b/>
                <w:bCs/>
                <w:color w:val="000000" w:themeColor="text1"/>
                <w:sz w:val="24"/>
                <w:szCs w:val="24"/>
              </w:rPr>
            </w:pPr>
          </w:p>
        </w:tc>
        <w:tc>
          <w:tcPr>
            <w:tcW w:w="1381"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现有站点（个）</w:t>
            </w:r>
          </w:p>
        </w:tc>
        <w:tc>
          <w:tcPr>
            <w:tcW w:w="1908"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现有产能</w:t>
            </w:r>
          </w:p>
          <w:p w:rsidR="00D74912" w:rsidRDefault="00FE7708">
            <w:pPr>
              <w:adjustRightInd w:val="0"/>
              <w:snapToGrid w:val="0"/>
              <w:jc w:val="center"/>
              <w:rPr>
                <w:rFonts w:ascii="Times New Roman" w:eastAsia="仿宋" w:hAnsi="Times New Roman"/>
              </w:rPr>
            </w:pP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万立方米</w:t>
            </w: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年</w:t>
            </w:r>
            <w:r>
              <w:rPr>
                <w:rFonts w:ascii="Times New Roman" w:eastAsia="仿宋" w:hAnsi="Times New Roman"/>
                <w:b/>
                <w:bCs/>
                <w:color w:val="000000" w:themeColor="text1"/>
                <w:sz w:val="24"/>
                <w:szCs w:val="24"/>
              </w:rPr>
              <w:t>)</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站点布局（个）</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新增产能</w:t>
            </w:r>
          </w:p>
          <w:p w:rsidR="00D74912" w:rsidRDefault="00FE7708">
            <w:pPr>
              <w:adjustRightInd w:val="0"/>
              <w:snapToGrid w:val="0"/>
              <w:jc w:val="center"/>
              <w:rPr>
                <w:rFonts w:ascii="Times New Roman" w:eastAsia="仿宋" w:hAnsi="Times New Roman"/>
              </w:rPr>
            </w:pP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万立方米</w:t>
            </w: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年</w:t>
            </w:r>
            <w:r>
              <w:rPr>
                <w:rFonts w:ascii="Times New Roman" w:eastAsia="仿宋" w:hAnsi="Times New Roman"/>
                <w:b/>
                <w:bCs/>
                <w:color w:val="000000" w:themeColor="text1"/>
                <w:sz w:val="24"/>
                <w:szCs w:val="24"/>
              </w:rPr>
              <w:t>)</w:t>
            </w:r>
          </w:p>
        </w:tc>
        <w:tc>
          <w:tcPr>
            <w:tcW w:w="1395"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站点总数</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（个）</w:t>
            </w:r>
          </w:p>
        </w:tc>
        <w:tc>
          <w:tcPr>
            <w:tcW w:w="1726"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总产能</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万立方米</w:t>
            </w: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年</w:t>
            </w:r>
            <w:r>
              <w:rPr>
                <w:rFonts w:ascii="Times New Roman" w:eastAsia="仿宋" w:hAnsi="Times New Roman"/>
                <w:b/>
                <w:bCs/>
                <w:color w:val="000000" w:themeColor="text1"/>
                <w:sz w:val="24"/>
                <w:szCs w:val="24"/>
              </w:rPr>
              <w:t>)</w:t>
            </w:r>
          </w:p>
        </w:tc>
        <w:tc>
          <w:tcPr>
            <w:tcW w:w="2537" w:type="dxa"/>
            <w:vMerge/>
            <w:noWrap/>
            <w:vAlign w:val="center"/>
          </w:tcPr>
          <w:p w:rsidR="00D74912" w:rsidRDefault="00D74912">
            <w:pPr>
              <w:adjustRightInd w:val="0"/>
              <w:snapToGrid w:val="0"/>
              <w:jc w:val="center"/>
              <w:rPr>
                <w:rFonts w:ascii="Times New Roman" w:eastAsia="仿宋" w:hAnsi="Times New Roman"/>
                <w:b/>
                <w:bCs/>
                <w:color w:val="000000" w:themeColor="text1"/>
                <w:sz w:val="24"/>
                <w:szCs w:val="24"/>
              </w:rPr>
            </w:pPr>
          </w:p>
        </w:tc>
      </w:tr>
      <w:tr w:rsidR="00D74912">
        <w:tc>
          <w:tcPr>
            <w:tcW w:w="966"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全市</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总计</w:t>
            </w:r>
          </w:p>
        </w:tc>
        <w:tc>
          <w:tcPr>
            <w:tcW w:w="1035" w:type="dxa"/>
            <w:noWrap/>
            <w:vAlign w:val="center"/>
          </w:tcPr>
          <w:p w:rsidR="00D74912" w:rsidRDefault="00FE7708">
            <w:pPr>
              <w:adjustRightInd w:val="0"/>
              <w:snapToGrid w:val="0"/>
              <w:jc w:val="center"/>
              <w:rPr>
                <w:rFonts w:ascii="Times New Roman" w:eastAsia="仿宋" w:hAnsi="Times New Roman"/>
                <w:b/>
                <w:bCs/>
                <w:color w:val="000000" w:themeColor="text1"/>
                <w:sz w:val="28"/>
                <w:szCs w:val="28"/>
              </w:rPr>
            </w:pPr>
            <w:r>
              <w:rPr>
                <w:rFonts w:ascii="Times New Roman" w:eastAsia="仿宋" w:hAnsi="Times New Roman"/>
                <w:b/>
                <w:bCs/>
                <w:color w:val="000000" w:themeColor="text1"/>
                <w:sz w:val="28"/>
                <w:szCs w:val="28"/>
              </w:rPr>
              <w:t>-</w:t>
            </w:r>
          </w:p>
        </w:tc>
        <w:tc>
          <w:tcPr>
            <w:tcW w:w="1381"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47</w:t>
            </w:r>
          </w:p>
        </w:tc>
        <w:tc>
          <w:tcPr>
            <w:tcW w:w="1908"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2375</w:t>
            </w:r>
          </w:p>
        </w:tc>
        <w:tc>
          <w:tcPr>
            <w:tcW w:w="1443"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≤3</w:t>
            </w:r>
          </w:p>
        </w:tc>
        <w:tc>
          <w:tcPr>
            <w:tcW w:w="1772"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90</w:t>
            </w:r>
          </w:p>
        </w:tc>
        <w:tc>
          <w:tcPr>
            <w:tcW w:w="1395"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50</w:t>
            </w:r>
          </w:p>
        </w:tc>
        <w:tc>
          <w:tcPr>
            <w:tcW w:w="1726"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2465</w:t>
            </w:r>
          </w:p>
        </w:tc>
        <w:tc>
          <w:tcPr>
            <w:tcW w:w="2537"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w:t>
            </w:r>
          </w:p>
        </w:tc>
      </w:tr>
      <w:tr w:rsidR="00D74912">
        <w:tc>
          <w:tcPr>
            <w:tcW w:w="966" w:type="dxa"/>
            <w:vMerge w:val="restart"/>
            <w:tcBorders>
              <w:top w:val="single" w:sz="4" w:space="0" w:color="auto"/>
              <w:left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2"/>
              </w:rPr>
            </w:pPr>
            <w:r>
              <w:rPr>
                <w:rFonts w:ascii="Times New Roman" w:eastAsia="仿宋" w:hAnsi="Times New Roman"/>
                <w:b/>
                <w:bCs/>
                <w:color w:val="000000" w:themeColor="text1"/>
                <w:sz w:val="24"/>
                <w:szCs w:val="24"/>
              </w:rPr>
              <w:t>钦北区</w:t>
            </w:r>
          </w:p>
        </w:tc>
        <w:tc>
          <w:tcPr>
            <w:tcW w:w="1035"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中部</w:t>
            </w:r>
          </w:p>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片区</w:t>
            </w:r>
          </w:p>
        </w:tc>
        <w:tc>
          <w:tcPr>
            <w:tcW w:w="1381"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w:t>
            </w:r>
          </w:p>
        </w:tc>
        <w:tc>
          <w:tcPr>
            <w:tcW w:w="1908"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340</w:t>
            </w:r>
          </w:p>
        </w:tc>
        <w:tc>
          <w:tcPr>
            <w:tcW w:w="1443"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w:t>
            </w:r>
          </w:p>
        </w:tc>
        <w:tc>
          <w:tcPr>
            <w:tcW w:w="1726"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340</w:t>
            </w:r>
          </w:p>
        </w:tc>
        <w:tc>
          <w:tcPr>
            <w:tcW w:w="2537"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left"/>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街道：长田、子材、鸿亭。乡镇：大垌镇</w:t>
            </w:r>
          </w:p>
        </w:tc>
      </w:tr>
      <w:tr w:rsidR="00D74912">
        <w:tc>
          <w:tcPr>
            <w:tcW w:w="966" w:type="dxa"/>
            <w:vMerge/>
            <w:tcBorders>
              <w:left w:val="single" w:sz="4" w:space="0" w:color="auto"/>
              <w:right w:val="single" w:sz="4" w:space="0" w:color="auto"/>
            </w:tcBorders>
            <w:noWrap/>
            <w:vAlign w:val="center"/>
          </w:tcPr>
          <w:p w:rsidR="00D74912" w:rsidRDefault="00D74912">
            <w:pPr>
              <w:adjustRightInd w:val="0"/>
              <w:snapToGrid w:val="0"/>
              <w:jc w:val="center"/>
              <w:rPr>
                <w:rFonts w:ascii="Times New Roman" w:eastAsia="仿宋" w:hAnsi="Times New Roman"/>
                <w:color w:val="000000" w:themeColor="text1"/>
                <w:sz w:val="22"/>
              </w:rPr>
            </w:pPr>
          </w:p>
        </w:tc>
        <w:tc>
          <w:tcPr>
            <w:tcW w:w="1035"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西部</w:t>
            </w:r>
          </w:p>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片区</w:t>
            </w:r>
          </w:p>
        </w:tc>
        <w:tc>
          <w:tcPr>
            <w:tcW w:w="1381"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1908"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1443"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30</w:t>
            </w:r>
          </w:p>
        </w:tc>
        <w:tc>
          <w:tcPr>
            <w:tcW w:w="1395"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726"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30</w:t>
            </w:r>
          </w:p>
        </w:tc>
        <w:tc>
          <w:tcPr>
            <w:tcW w:w="2537"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left"/>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贵台、大直、大寺</w:t>
            </w:r>
          </w:p>
        </w:tc>
      </w:tr>
      <w:tr w:rsidR="00D74912">
        <w:trPr>
          <w:trHeight w:val="602"/>
        </w:trPr>
        <w:tc>
          <w:tcPr>
            <w:tcW w:w="966" w:type="dxa"/>
            <w:vMerge/>
            <w:tcBorders>
              <w:left w:val="single" w:sz="4" w:space="0" w:color="auto"/>
              <w:bottom w:val="single" w:sz="4" w:space="0" w:color="auto"/>
              <w:right w:val="single" w:sz="4" w:space="0" w:color="auto"/>
            </w:tcBorders>
            <w:noWrap/>
            <w:vAlign w:val="center"/>
          </w:tcPr>
          <w:p w:rsidR="00D74912" w:rsidRDefault="00D74912">
            <w:pPr>
              <w:adjustRightInd w:val="0"/>
              <w:snapToGrid w:val="0"/>
              <w:jc w:val="center"/>
              <w:rPr>
                <w:rFonts w:ascii="Times New Roman" w:eastAsia="仿宋" w:hAnsi="Times New Roman"/>
                <w:color w:val="000000" w:themeColor="text1"/>
                <w:sz w:val="22"/>
              </w:rPr>
            </w:pPr>
          </w:p>
        </w:tc>
        <w:tc>
          <w:tcPr>
            <w:tcW w:w="1035"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北部片区</w:t>
            </w:r>
          </w:p>
        </w:tc>
        <w:tc>
          <w:tcPr>
            <w:tcW w:w="1381"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908"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20</w:t>
            </w:r>
          </w:p>
        </w:tc>
        <w:tc>
          <w:tcPr>
            <w:tcW w:w="1443"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726"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20</w:t>
            </w:r>
          </w:p>
        </w:tc>
        <w:tc>
          <w:tcPr>
            <w:tcW w:w="2537" w:type="dxa"/>
            <w:tcBorders>
              <w:top w:val="single" w:sz="4" w:space="0" w:color="auto"/>
              <w:left w:val="single" w:sz="4" w:space="0" w:color="auto"/>
              <w:bottom w:val="single" w:sz="4" w:space="0" w:color="auto"/>
              <w:right w:val="single" w:sz="4" w:space="0" w:color="auto"/>
            </w:tcBorders>
            <w:noWrap/>
            <w:vAlign w:val="center"/>
          </w:tcPr>
          <w:p w:rsidR="00D74912" w:rsidRDefault="00FE7708">
            <w:pPr>
              <w:adjustRightInd w:val="0"/>
              <w:snapToGrid w:val="0"/>
              <w:rPr>
                <w:rFonts w:ascii="Times New Roman" w:eastAsia="仿宋" w:hAnsi="Times New Roman"/>
                <w:color w:val="000000" w:themeColor="text1"/>
                <w:sz w:val="18"/>
                <w:szCs w:val="18"/>
              </w:rPr>
            </w:pPr>
            <w:r>
              <w:rPr>
                <w:rFonts w:ascii="Times New Roman" w:eastAsia="仿宋" w:hAnsi="Times New Roman"/>
                <w:color w:val="000000" w:themeColor="text1"/>
                <w:sz w:val="24"/>
                <w:szCs w:val="24"/>
              </w:rPr>
              <w:t>小董、平吉、青塘、板城、长滩、新棠、那蒙</w:t>
            </w:r>
          </w:p>
        </w:tc>
      </w:tr>
      <w:tr w:rsidR="00D74912">
        <w:trPr>
          <w:trHeight w:val="602"/>
        </w:trPr>
        <w:tc>
          <w:tcPr>
            <w:tcW w:w="966" w:type="dxa"/>
            <w:vMerge w:val="restart"/>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钦南区</w:t>
            </w:r>
          </w:p>
          <w:p w:rsidR="00D74912" w:rsidRDefault="00D74912">
            <w:pPr>
              <w:adjustRightInd w:val="0"/>
              <w:snapToGrid w:val="0"/>
              <w:jc w:val="center"/>
              <w:rPr>
                <w:rFonts w:ascii="Times New Roman" w:hAnsi="Times New Roman"/>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中部</w:t>
            </w:r>
          </w:p>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7</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430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9</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430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街道：水东、文峰、南珠、向阳、尖山。乡镇：沙埠、久隆镇</w:t>
            </w:r>
          </w:p>
        </w:tc>
      </w:tr>
      <w:tr w:rsidR="00D74912">
        <w:trPr>
          <w:trHeight w:val="602"/>
        </w:trPr>
        <w:tc>
          <w:tcPr>
            <w:tcW w:w="966" w:type="dxa"/>
            <w:vMerge/>
            <w:noWrap/>
            <w:vAlign w:val="center"/>
          </w:tcPr>
          <w:p w:rsidR="00D74912" w:rsidRDefault="00D74912">
            <w:pPr>
              <w:adjustRightInd w:val="0"/>
              <w:snapToGrid w:val="0"/>
              <w:jc w:val="center"/>
              <w:rPr>
                <w:rFonts w:ascii="Times New Roman" w:hAnsi="Times New Roman"/>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茅尾海片区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185</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185</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黄屋屯、康熙岭镇</w:t>
            </w:r>
          </w:p>
        </w:tc>
      </w:tr>
      <w:tr w:rsidR="00D74912">
        <w:trPr>
          <w:trHeight w:val="602"/>
        </w:trPr>
        <w:tc>
          <w:tcPr>
            <w:tcW w:w="966" w:type="dxa"/>
            <w:vMerge/>
            <w:noWrap/>
            <w:vAlign w:val="center"/>
          </w:tcPr>
          <w:p w:rsidR="00D74912" w:rsidRDefault="00D74912">
            <w:pPr>
              <w:adjustRightInd w:val="0"/>
              <w:snapToGrid w:val="0"/>
              <w:jc w:val="center"/>
              <w:rPr>
                <w:rFonts w:ascii="Times New Roman" w:hAnsi="Times New Roman"/>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东部</w:t>
            </w:r>
          </w:p>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≤1</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30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30</w:t>
            </w:r>
          </w:p>
        </w:tc>
        <w:tc>
          <w:tcPr>
            <w:tcW w:w="2537" w:type="dxa"/>
            <w:noWrap/>
            <w:vAlign w:val="center"/>
          </w:tcPr>
          <w:p w:rsidR="00D74912" w:rsidRDefault="00FE7708">
            <w:pPr>
              <w:adjustRightInd w:val="0"/>
              <w:snapToGrid w:val="0"/>
              <w:rPr>
                <w:rFonts w:ascii="Times New Roman" w:eastAsia="仿宋" w:hAnsi="Times New Roman"/>
                <w:color w:val="000000" w:themeColor="text1"/>
                <w:sz w:val="18"/>
                <w:szCs w:val="18"/>
              </w:rPr>
            </w:pPr>
            <w:r>
              <w:rPr>
                <w:rFonts w:ascii="Times New Roman" w:eastAsia="仿宋" w:hAnsi="Times New Roman"/>
                <w:color w:val="000000" w:themeColor="text1"/>
                <w:sz w:val="24"/>
                <w:szCs w:val="24"/>
              </w:rPr>
              <w:t>那思、那彭、那丽</w:t>
            </w:r>
          </w:p>
        </w:tc>
      </w:tr>
      <w:tr w:rsidR="00D74912">
        <w:trPr>
          <w:trHeight w:val="602"/>
        </w:trPr>
        <w:tc>
          <w:tcPr>
            <w:tcW w:w="966" w:type="dxa"/>
            <w:vMerge/>
            <w:tcBorders>
              <w:bottom w:val="single" w:sz="4" w:space="0" w:color="auto"/>
            </w:tcBorders>
            <w:noWrap/>
            <w:vAlign w:val="center"/>
          </w:tcPr>
          <w:p w:rsidR="00D74912" w:rsidRDefault="00D74912">
            <w:pPr>
              <w:adjustRightInd w:val="0"/>
              <w:snapToGrid w:val="0"/>
              <w:jc w:val="center"/>
              <w:rPr>
                <w:rFonts w:ascii="Times New Roman" w:eastAsia="仿宋" w:hAnsi="Times New Roman"/>
                <w:color w:val="000000" w:themeColor="text1"/>
                <w:sz w:val="22"/>
              </w:rPr>
            </w:pPr>
          </w:p>
        </w:tc>
        <w:tc>
          <w:tcPr>
            <w:tcW w:w="1035"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钦州港</w:t>
            </w:r>
          </w:p>
        </w:tc>
        <w:tc>
          <w:tcPr>
            <w:tcW w:w="1381"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8</w:t>
            </w:r>
          </w:p>
        </w:tc>
        <w:tc>
          <w:tcPr>
            <w:tcW w:w="1908"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480</w:t>
            </w:r>
          </w:p>
        </w:tc>
        <w:tc>
          <w:tcPr>
            <w:tcW w:w="1443"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8</w:t>
            </w:r>
          </w:p>
        </w:tc>
        <w:tc>
          <w:tcPr>
            <w:tcW w:w="1726" w:type="dxa"/>
            <w:tcBorders>
              <w:bottom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480</w:t>
            </w:r>
          </w:p>
        </w:tc>
        <w:tc>
          <w:tcPr>
            <w:tcW w:w="2537" w:type="dxa"/>
            <w:tcBorders>
              <w:bottom w:val="single" w:sz="4" w:space="0" w:color="auto"/>
            </w:tcBorders>
            <w:noWrap/>
            <w:vAlign w:val="center"/>
          </w:tcPr>
          <w:p w:rsidR="00D74912" w:rsidRDefault="00FE7708">
            <w:pPr>
              <w:adjustRightInd w:val="0"/>
              <w:snapToGrid w:val="0"/>
              <w:rPr>
                <w:rFonts w:ascii="Times New Roman" w:eastAsia="仿宋" w:hAnsi="Times New Roman"/>
                <w:color w:val="000000" w:themeColor="text1"/>
                <w:sz w:val="18"/>
                <w:szCs w:val="18"/>
              </w:rPr>
            </w:pPr>
            <w:r>
              <w:rPr>
                <w:rFonts w:ascii="Times New Roman" w:eastAsia="仿宋" w:hAnsi="Times New Roman"/>
              </w:rPr>
              <w:t>钦</w:t>
            </w:r>
            <w:r>
              <w:rPr>
                <w:rFonts w:ascii="Times New Roman" w:eastAsia="仿宋" w:hAnsi="Times New Roman"/>
                <w:color w:val="000000" w:themeColor="text1"/>
                <w:sz w:val="24"/>
                <w:szCs w:val="24"/>
              </w:rPr>
              <w:t>州港、大番坡、龙门港、犀牛角</w:t>
            </w:r>
          </w:p>
        </w:tc>
      </w:tr>
      <w:tr w:rsidR="00D74912">
        <w:tc>
          <w:tcPr>
            <w:tcW w:w="966" w:type="dxa"/>
            <w:vMerge w:val="restart"/>
            <w:tcBorders>
              <w:top w:val="single" w:sz="4" w:space="0" w:color="auto"/>
            </w:tcBorders>
            <w:noWrap/>
            <w:vAlign w:val="center"/>
          </w:tcPr>
          <w:p w:rsidR="00D74912" w:rsidRDefault="00D74912">
            <w:pPr>
              <w:adjustRightInd w:val="0"/>
              <w:snapToGrid w:val="0"/>
              <w:jc w:val="center"/>
              <w:rPr>
                <w:rFonts w:ascii="Times New Roman" w:eastAsia="仿宋" w:hAnsi="Times New Roman"/>
                <w:b/>
                <w:bCs/>
                <w:color w:val="000000" w:themeColor="text1"/>
                <w:sz w:val="24"/>
                <w:szCs w:val="24"/>
              </w:rPr>
            </w:pPr>
          </w:p>
          <w:p w:rsidR="00D74912" w:rsidRDefault="00D74912">
            <w:pPr>
              <w:adjustRightInd w:val="0"/>
              <w:snapToGrid w:val="0"/>
              <w:jc w:val="center"/>
              <w:rPr>
                <w:rFonts w:ascii="Times New Roman" w:eastAsia="仿宋" w:hAnsi="Times New Roman"/>
                <w:b/>
                <w:bCs/>
                <w:color w:val="000000" w:themeColor="text1"/>
                <w:sz w:val="24"/>
                <w:szCs w:val="24"/>
              </w:rPr>
            </w:pPr>
          </w:p>
          <w:p w:rsidR="00D74912" w:rsidRDefault="00FE7708">
            <w:pPr>
              <w:adjustRightInd w:val="0"/>
              <w:snapToGrid w:val="0"/>
              <w:jc w:val="center"/>
              <w:rPr>
                <w:rFonts w:ascii="Times New Roman" w:eastAsia="仿宋" w:hAnsi="Times New Roman"/>
                <w:color w:val="000000" w:themeColor="text1"/>
                <w:sz w:val="22"/>
              </w:rPr>
            </w:pPr>
            <w:r>
              <w:rPr>
                <w:rFonts w:ascii="Times New Roman" w:eastAsia="仿宋" w:hAnsi="Times New Roman"/>
                <w:b/>
                <w:bCs/>
                <w:color w:val="000000" w:themeColor="text1"/>
                <w:sz w:val="24"/>
                <w:szCs w:val="24"/>
              </w:rPr>
              <w:t>浦北县</w:t>
            </w:r>
          </w:p>
        </w:tc>
        <w:tc>
          <w:tcPr>
            <w:tcW w:w="1035" w:type="dxa"/>
            <w:tcBorders>
              <w:top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北部</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片区</w:t>
            </w:r>
            <w:r>
              <w:rPr>
                <w:rFonts w:ascii="Times New Roman" w:eastAsia="仿宋" w:hAnsi="Times New Roman"/>
                <w:color w:val="000000" w:themeColor="text1"/>
                <w:sz w:val="24"/>
                <w:szCs w:val="24"/>
              </w:rPr>
              <w:t>1</w:t>
            </w:r>
          </w:p>
        </w:tc>
        <w:tc>
          <w:tcPr>
            <w:tcW w:w="1381" w:type="dxa"/>
            <w:tcBorders>
              <w:top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1908" w:type="dxa"/>
            <w:tcBorders>
              <w:top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1443" w:type="dxa"/>
            <w:tcBorders>
              <w:top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≤1</w:t>
            </w:r>
          </w:p>
        </w:tc>
        <w:tc>
          <w:tcPr>
            <w:tcW w:w="1772" w:type="dxa"/>
            <w:tcBorders>
              <w:top w:val="single" w:sz="4" w:space="0" w:color="auto"/>
            </w:tcBorders>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30</w:t>
            </w:r>
          </w:p>
        </w:tc>
        <w:tc>
          <w:tcPr>
            <w:tcW w:w="1395" w:type="dxa"/>
            <w:tcBorders>
              <w:top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726" w:type="dxa"/>
            <w:tcBorders>
              <w:top w:val="single" w:sz="4" w:space="0" w:color="auto"/>
            </w:tcBorders>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30</w:t>
            </w:r>
          </w:p>
        </w:tc>
        <w:tc>
          <w:tcPr>
            <w:tcW w:w="2537" w:type="dxa"/>
            <w:tcBorders>
              <w:top w:val="single" w:sz="4" w:space="0" w:color="auto"/>
            </w:tcBorders>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官垌、平睦、六硍</w:t>
            </w:r>
          </w:p>
        </w:tc>
      </w:tr>
      <w:tr w:rsidR="00D74912">
        <w:tc>
          <w:tcPr>
            <w:tcW w:w="966" w:type="dxa"/>
            <w:vMerge/>
            <w:noWrap/>
            <w:vAlign w:val="center"/>
          </w:tcPr>
          <w:p w:rsidR="00D74912" w:rsidRDefault="00D74912">
            <w:pPr>
              <w:adjustRightInd w:val="0"/>
              <w:snapToGrid w:val="0"/>
              <w:jc w:val="center"/>
              <w:rPr>
                <w:rFonts w:ascii="Times New Roman" w:eastAsia="仿宋" w:hAnsi="Times New Roman"/>
                <w:color w:val="000000" w:themeColor="text1"/>
                <w:sz w:val="22"/>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北部</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片区</w:t>
            </w:r>
            <w:r>
              <w:rPr>
                <w:rFonts w:ascii="Times New Roman" w:eastAsia="仿宋" w:hAnsi="Times New Roman"/>
                <w:color w:val="000000" w:themeColor="text1"/>
                <w:sz w:val="24"/>
                <w:szCs w:val="24"/>
              </w:rPr>
              <w:t>2</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80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80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乐民、寨圩</w:t>
            </w:r>
          </w:p>
        </w:tc>
      </w:tr>
      <w:tr w:rsidR="00D74912">
        <w:tc>
          <w:tcPr>
            <w:tcW w:w="966" w:type="dxa"/>
            <w:vMerge/>
            <w:noWrap/>
            <w:vAlign w:val="center"/>
          </w:tcPr>
          <w:p w:rsidR="00D74912" w:rsidRDefault="00D74912">
            <w:pPr>
              <w:adjustRightInd w:val="0"/>
              <w:snapToGrid w:val="0"/>
              <w:jc w:val="center"/>
              <w:rPr>
                <w:rFonts w:ascii="Times New Roman" w:eastAsia="仿宋" w:hAnsi="Times New Roman"/>
                <w:color w:val="000000" w:themeColor="text1"/>
                <w:sz w:val="22"/>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县城</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lastRenderedPageBreak/>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lastRenderedPageBreak/>
              <w:t>5</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170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170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街道：小江、江城。乡</w:t>
            </w:r>
            <w:r>
              <w:rPr>
                <w:rFonts w:ascii="Times New Roman" w:eastAsia="仿宋" w:hAnsi="Times New Roman"/>
                <w:color w:val="000000" w:themeColor="text1"/>
                <w:sz w:val="24"/>
                <w:szCs w:val="24"/>
              </w:rPr>
              <w:lastRenderedPageBreak/>
              <w:t>镇：福旺、三合、龙门、北通</w:t>
            </w:r>
          </w:p>
        </w:tc>
      </w:tr>
      <w:tr w:rsidR="00D74912">
        <w:tc>
          <w:tcPr>
            <w:tcW w:w="966" w:type="dxa"/>
            <w:vMerge/>
            <w:noWrap/>
            <w:vAlign w:val="center"/>
          </w:tcPr>
          <w:p w:rsidR="00D74912" w:rsidRDefault="00D74912">
            <w:pPr>
              <w:adjustRightInd w:val="0"/>
              <w:snapToGrid w:val="0"/>
              <w:jc w:val="center"/>
              <w:rPr>
                <w:rFonts w:ascii="Times New Roman" w:eastAsia="仿宋" w:hAnsi="Times New Roman"/>
                <w:color w:val="000000" w:themeColor="text1"/>
                <w:sz w:val="22"/>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南部</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张黄、白石水、大成、安石、石埇、泉水</w:t>
            </w:r>
          </w:p>
        </w:tc>
      </w:tr>
      <w:tr w:rsidR="00D74912">
        <w:tc>
          <w:tcPr>
            <w:tcW w:w="966" w:type="dxa"/>
            <w:vMerge w:val="restart"/>
            <w:noWrap/>
            <w:vAlign w:val="center"/>
          </w:tcPr>
          <w:p w:rsidR="00D74912" w:rsidRDefault="00FE7708">
            <w:pPr>
              <w:adjustRightInd w:val="0"/>
              <w:snapToGrid w:val="0"/>
              <w:jc w:val="center"/>
              <w:rPr>
                <w:rFonts w:ascii="Times New Roman" w:eastAsia="仿宋" w:hAnsi="Times New Roman"/>
                <w:color w:val="000000" w:themeColor="text1"/>
                <w:sz w:val="22"/>
              </w:rPr>
            </w:pPr>
            <w:r>
              <w:rPr>
                <w:rFonts w:ascii="Times New Roman" w:eastAsia="仿宋" w:hAnsi="Times New Roman"/>
                <w:b/>
                <w:bCs/>
                <w:color w:val="000000" w:themeColor="text1"/>
                <w:sz w:val="24"/>
                <w:szCs w:val="24"/>
              </w:rPr>
              <w:t>灵山县</w:t>
            </w: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县城</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6</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340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340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街道：三海、灵山。乡镇：佛子、新圩、檀圩、平南</w:t>
            </w:r>
          </w:p>
        </w:tc>
      </w:tr>
      <w:tr w:rsidR="00D74912">
        <w:tc>
          <w:tcPr>
            <w:tcW w:w="966" w:type="dxa"/>
            <w:vMerge/>
            <w:noWrap/>
            <w:vAlign w:val="center"/>
          </w:tcPr>
          <w:p w:rsidR="00D74912" w:rsidRDefault="00D74912">
            <w:pPr>
              <w:adjustRightInd w:val="0"/>
              <w:snapToGrid w:val="0"/>
              <w:jc w:val="center"/>
              <w:rPr>
                <w:rFonts w:ascii="Times New Roman" w:eastAsia="仿宋" w:hAnsi="Times New Roman"/>
                <w:color w:val="000000" w:themeColor="text1"/>
                <w:sz w:val="24"/>
                <w:szCs w:val="24"/>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西部</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180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180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太平、陆屋、沙坪、旧州、三隆、那隆、烟墩</w:t>
            </w:r>
          </w:p>
        </w:tc>
      </w:tr>
      <w:tr w:rsidR="00D74912">
        <w:tc>
          <w:tcPr>
            <w:tcW w:w="966" w:type="dxa"/>
            <w:vMerge/>
            <w:noWrap/>
            <w:vAlign w:val="center"/>
          </w:tcPr>
          <w:p w:rsidR="00D74912" w:rsidRDefault="00D74912">
            <w:pPr>
              <w:adjustRightInd w:val="0"/>
              <w:snapToGrid w:val="0"/>
              <w:jc w:val="center"/>
              <w:rPr>
                <w:rFonts w:ascii="Times New Roman" w:eastAsia="仿宋" w:hAnsi="Times New Roman"/>
                <w:color w:val="000000" w:themeColor="text1"/>
                <w:sz w:val="24"/>
                <w:szCs w:val="24"/>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南部</w:t>
            </w:r>
          </w:p>
          <w:p w:rsidR="00D74912" w:rsidRDefault="00FE7708">
            <w:pPr>
              <w:adjustRightInd w:val="0"/>
              <w:snapToGrid w:val="0"/>
              <w:jc w:val="center"/>
              <w:rPr>
                <w:rFonts w:ascii="Times New Roman" w:eastAsia="仿宋" w:hAnsi="Times New Roman"/>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90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90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武利、伯劳、文利</w:t>
            </w:r>
          </w:p>
        </w:tc>
      </w:tr>
      <w:tr w:rsidR="00D74912">
        <w:tc>
          <w:tcPr>
            <w:tcW w:w="966" w:type="dxa"/>
            <w:vMerge/>
            <w:noWrap/>
            <w:vAlign w:val="center"/>
          </w:tcPr>
          <w:p w:rsidR="00D74912" w:rsidRDefault="00D74912">
            <w:pPr>
              <w:adjustRightInd w:val="0"/>
              <w:snapToGrid w:val="0"/>
              <w:jc w:val="center"/>
              <w:rPr>
                <w:rFonts w:ascii="Times New Roman" w:eastAsia="仿宋" w:hAnsi="Times New Roman"/>
                <w:color w:val="000000" w:themeColor="text1"/>
                <w:sz w:val="24"/>
                <w:szCs w:val="24"/>
              </w:rPr>
            </w:pPr>
          </w:p>
        </w:tc>
        <w:tc>
          <w:tcPr>
            <w:tcW w:w="103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东部</w:t>
            </w:r>
          </w:p>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片区</w:t>
            </w:r>
          </w:p>
        </w:tc>
        <w:tc>
          <w:tcPr>
            <w:tcW w:w="1381"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908"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20</w:t>
            </w:r>
          </w:p>
        </w:tc>
        <w:tc>
          <w:tcPr>
            <w:tcW w:w="1443"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772" w:type="dxa"/>
            <w:noWrap/>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0</w:t>
            </w:r>
          </w:p>
        </w:tc>
        <w:tc>
          <w:tcPr>
            <w:tcW w:w="1395"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1726" w:type="dxa"/>
            <w:noWrap/>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20</w:t>
            </w:r>
          </w:p>
        </w:tc>
        <w:tc>
          <w:tcPr>
            <w:tcW w:w="2537" w:type="dxa"/>
            <w:noWrap/>
            <w:vAlign w:val="center"/>
          </w:tcPr>
          <w:p w:rsidR="00D74912" w:rsidRDefault="00FE7708">
            <w:pPr>
              <w:adjustRightInd w:val="0"/>
              <w:snapToGrid w:val="0"/>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石塘、丰塘、平山</w:t>
            </w:r>
          </w:p>
        </w:tc>
      </w:tr>
    </w:tbl>
    <w:p w:rsidR="00D74912" w:rsidRDefault="00D74912">
      <w:pPr>
        <w:adjustRightInd w:val="0"/>
        <w:snapToGrid w:val="0"/>
        <w:jc w:val="center"/>
        <w:rPr>
          <w:rFonts w:ascii="Times New Roman" w:eastAsia="仿宋" w:hAnsi="Times New Roman"/>
          <w:color w:val="000000" w:themeColor="text1"/>
          <w:sz w:val="24"/>
          <w:szCs w:val="24"/>
        </w:rPr>
      </w:pPr>
    </w:p>
    <w:p w:rsidR="00D74912" w:rsidRDefault="00FE7708">
      <w:pPr>
        <w:spacing w:line="360" w:lineRule="auto"/>
        <w:ind w:firstLineChars="200" w:firstLine="440"/>
        <w:rPr>
          <w:rFonts w:ascii="Times New Roman" w:eastAsia="仿宋" w:hAnsi="Times New Roman"/>
          <w:sz w:val="22"/>
        </w:rPr>
      </w:pPr>
      <w:r>
        <w:rPr>
          <w:rFonts w:ascii="Times New Roman" w:eastAsia="仿宋" w:hAnsi="Times New Roman"/>
          <w:sz w:val="22"/>
        </w:rPr>
        <w:t>注：</w:t>
      </w:r>
    </w:p>
    <w:p w:rsidR="00D74912" w:rsidRDefault="00FE7708">
      <w:pPr>
        <w:spacing w:line="360" w:lineRule="auto"/>
        <w:ind w:firstLineChars="200" w:firstLine="440"/>
        <w:rPr>
          <w:rFonts w:ascii="Times New Roman" w:eastAsia="仿宋" w:hAnsi="Times New Roman"/>
          <w:sz w:val="22"/>
        </w:rPr>
      </w:pPr>
      <w:r>
        <w:rPr>
          <w:rFonts w:ascii="Times New Roman" w:eastAsia="仿宋" w:hAnsi="Times New Roman"/>
          <w:sz w:val="22"/>
        </w:rPr>
        <w:t>1</w:t>
      </w:r>
      <w:r>
        <w:rPr>
          <w:rFonts w:ascii="Times New Roman" w:eastAsia="仿宋" w:hAnsi="Times New Roman"/>
          <w:sz w:val="22"/>
        </w:rPr>
        <w:t>、预拌混凝土新增站点选址尚需满足规范条件相关要求。</w:t>
      </w:r>
    </w:p>
    <w:p w:rsidR="00D74912" w:rsidRDefault="00FE7708">
      <w:pPr>
        <w:spacing w:line="360" w:lineRule="auto"/>
        <w:ind w:firstLineChars="200" w:firstLine="440"/>
        <w:rPr>
          <w:rFonts w:ascii="Times New Roman" w:eastAsia="仿宋" w:hAnsi="Times New Roman"/>
          <w:sz w:val="22"/>
        </w:rPr>
      </w:pPr>
      <w:r>
        <w:rPr>
          <w:rFonts w:ascii="Times New Roman" w:eastAsia="仿宋" w:hAnsi="Times New Roman"/>
          <w:sz w:val="22"/>
        </w:rPr>
        <w:t>2</w:t>
      </w:r>
      <w:r>
        <w:rPr>
          <w:rFonts w:ascii="Times New Roman" w:eastAsia="仿宋" w:hAnsi="Times New Roman"/>
          <w:sz w:val="22"/>
        </w:rPr>
        <w:t>、鼓励产能利用率过低区域的搅拌站进行异地搬迁，向市场供不应求区域或乡镇农村市场转移；同一片区内的项目搬迁不计为新增站点，不占用规划布局指标；由不同片区的项目迁入的，计为新增站点，占用迁入片区的规划布局指标。</w:t>
      </w:r>
    </w:p>
    <w:p w:rsidR="00D74912" w:rsidRDefault="00FE7708">
      <w:pPr>
        <w:spacing w:line="360" w:lineRule="auto"/>
        <w:ind w:firstLineChars="200" w:firstLine="440"/>
        <w:rPr>
          <w:rFonts w:ascii="Times New Roman" w:eastAsia="仿宋" w:hAnsi="Times New Roman"/>
          <w:sz w:val="22"/>
        </w:rPr>
      </w:pPr>
      <w:r>
        <w:rPr>
          <w:rFonts w:ascii="Times New Roman" w:eastAsia="仿宋" w:hAnsi="Times New Roman"/>
          <w:sz w:val="22"/>
        </w:rPr>
        <w:t>3</w:t>
      </w:r>
      <w:r>
        <w:rPr>
          <w:rFonts w:ascii="Times New Roman" w:eastAsia="仿宋" w:hAnsi="Times New Roman"/>
          <w:sz w:val="22"/>
        </w:rPr>
        <w:t>、规划期内，当区域内产能利用率连续两年超过</w:t>
      </w:r>
      <w:r>
        <w:rPr>
          <w:rFonts w:ascii="Times New Roman" w:eastAsia="仿宋" w:hAnsi="Times New Roman"/>
          <w:sz w:val="22"/>
        </w:rPr>
        <w:t>60%</w:t>
      </w:r>
      <w:r>
        <w:rPr>
          <w:rFonts w:ascii="Times New Roman" w:eastAsia="仿宋" w:hAnsi="Times New Roman"/>
          <w:sz w:val="22"/>
        </w:rPr>
        <w:t>时，可在该区域内适当新增站点，保证产能利用率回到正常水平。</w:t>
      </w:r>
    </w:p>
    <w:p w:rsidR="00D74912" w:rsidRDefault="00D74912">
      <w:pPr>
        <w:adjustRightInd w:val="0"/>
        <w:snapToGrid w:val="0"/>
        <w:jc w:val="center"/>
        <w:rPr>
          <w:rFonts w:ascii="Times New Roman" w:eastAsia="仿宋" w:hAnsi="Times New Roman"/>
          <w:b/>
          <w:bCs/>
          <w:color w:val="000000" w:themeColor="text1"/>
          <w:sz w:val="24"/>
          <w:szCs w:val="24"/>
        </w:rPr>
      </w:pP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noProof/>
          <w:color w:val="000000" w:themeColor="text1"/>
          <w:sz w:val="24"/>
          <w:szCs w:val="24"/>
        </w:rPr>
        <w:lastRenderedPageBreak/>
        <w:drawing>
          <wp:inline distT="0" distB="0" distL="114300" distR="114300">
            <wp:extent cx="6641465" cy="4950460"/>
            <wp:effectExtent l="0" t="0" r="6985" b="2540"/>
            <wp:docPr id="5" name="图片 5" descr="初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初稿规划图"/>
                    <pic:cNvPicPr>
                      <a:picLocks noChangeAspect="1"/>
                    </pic:cNvPicPr>
                  </pic:nvPicPr>
                  <pic:blipFill>
                    <a:blip r:embed="rId18"/>
                    <a:stretch>
                      <a:fillRect/>
                    </a:stretch>
                  </pic:blipFill>
                  <pic:spPr>
                    <a:xfrm>
                      <a:off x="0" y="0"/>
                      <a:ext cx="6641465" cy="4950460"/>
                    </a:xfrm>
                    <a:prstGeom prst="rect">
                      <a:avLst/>
                    </a:prstGeom>
                  </pic:spPr>
                </pic:pic>
              </a:graphicData>
            </a:graphic>
          </wp:inline>
        </w:drawing>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图</w:t>
      </w:r>
      <w:r>
        <w:rPr>
          <w:rFonts w:ascii="Times New Roman" w:eastAsia="仿宋" w:hAnsi="Times New Roman"/>
          <w:b/>
          <w:bCs/>
          <w:color w:val="000000" w:themeColor="text1"/>
          <w:sz w:val="24"/>
          <w:szCs w:val="24"/>
        </w:rPr>
        <w:t>5-1</w:t>
      </w:r>
      <w:r>
        <w:rPr>
          <w:rFonts w:ascii="Times New Roman" w:eastAsia="仿宋" w:hAnsi="Times New Roman"/>
          <w:b/>
          <w:bCs/>
          <w:color w:val="000000" w:themeColor="text1"/>
          <w:sz w:val="24"/>
          <w:szCs w:val="24"/>
        </w:rPr>
        <w:t>钦州市预拌混凝土规划布局方案（</w:t>
      </w:r>
      <w:r>
        <w:rPr>
          <w:rFonts w:ascii="Times New Roman" w:eastAsia="仿宋" w:hAnsi="Times New Roman"/>
          <w:b/>
          <w:bCs/>
          <w:color w:val="000000" w:themeColor="text1"/>
          <w:sz w:val="24"/>
          <w:szCs w:val="24"/>
        </w:rPr>
        <w:t>2021-2025</w:t>
      </w:r>
      <w:r>
        <w:rPr>
          <w:rFonts w:ascii="Times New Roman" w:eastAsia="仿宋" w:hAnsi="Times New Roman"/>
          <w:b/>
          <w:bCs/>
          <w:color w:val="000000" w:themeColor="text1"/>
          <w:sz w:val="24"/>
          <w:szCs w:val="24"/>
        </w:rPr>
        <w:t>年）</w:t>
      </w:r>
    </w:p>
    <w:p w:rsidR="00D74912" w:rsidRDefault="00D74912">
      <w:pPr>
        <w:adjustRightInd w:val="0"/>
        <w:snapToGrid w:val="0"/>
        <w:jc w:val="center"/>
        <w:rPr>
          <w:rFonts w:ascii="Times New Roman" w:eastAsia="仿宋" w:hAnsi="Times New Roman"/>
          <w:b/>
          <w:bCs/>
          <w:color w:val="000000" w:themeColor="text1"/>
          <w:sz w:val="24"/>
          <w:szCs w:val="24"/>
        </w:rPr>
        <w:sectPr w:rsidR="00D74912">
          <w:pgSz w:w="16838" w:h="11906" w:orient="landscape"/>
          <w:pgMar w:top="1800" w:right="1440" w:bottom="1800" w:left="1440" w:header="851" w:footer="992" w:gutter="0"/>
          <w:cols w:space="425"/>
          <w:docGrid w:type="lines" w:linePitch="312"/>
        </w:sectPr>
      </w:pP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hint="eastAsia"/>
          <w:b/>
          <w:bCs/>
          <w:color w:val="000000" w:themeColor="text1"/>
          <w:sz w:val="24"/>
          <w:szCs w:val="24"/>
        </w:rPr>
        <w:lastRenderedPageBreak/>
        <w:t>（建议考虑平陆运河建设需要，在沿线布局混凝土产业项目点）</w:t>
      </w:r>
    </w:p>
    <w:p w:rsidR="00D74912" w:rsidRDefault="00D74912">
      <w:pPr>
        <w:adjustRightInd w:val="0"/>
        <w:snapToGrid w:val="0"/>
        <w:jc w:val="center"/>
        <w:rPr>
          <w:rFonts w:ascii="Times New Roman" w:eastAsia="仿宋" w:hAnsi="Times New Roman"/>
          <w:b/>
          <w:bCs/>
          <w:color w:val="000000" w:themeColor="text1"/>
          <w:sz w:val="24"/>
          <w:szCs w:val="24"/>
        </w:rPr>
      </w:pPr>
    </w:p>
    <w:p w:rsidR="00D74912" w:rsidRDefault="00FE7708">
      <w:pPr>
        <w:ind w:firstLineChars="100" w:firstLine="320"/>
        <w:outlineLvl w:val="1"/>
        <w:rPr>
          <w:rFonts w:ascii="Times New Roman" w:eastAsia="仿宋" w:hAnsi="Times New Roman"/>
          <w:sz w:val="32"/>
          <w:szCs w:val="32"/>
        </w:rPr>
      </w:pPr>
      <w:bookmarkStart w:id="274" w:name="_Toc27588"/>
      <w:bookmarkStart w:id="275" w:name="_Toc29021"/>
      <w:bookmarkStart w:id="276" w:name="_Toc27350"/>
      <w:bookmarkStart w:id="277" w:name="_Toc1262"/>
      <w:bookmarkStart w:id="278" w:name="_Toc12363"/>
      <w:bookmarkStart w:id="279" w:name="_Toc17411"/>
      <w:bookmarkStart w:id="280" w:name="_Toc32432"/>
      <w:bookmarkStart w:id="281" w:name="_Toc11375"/>
      <w:bookmarkStart w:id="282" w:name="_Toc21163"/>
      <w:bookmarkStart w:id="283" w:name="_Toc13336"/>
      <w:bookmarkStart w:id="284" w:name="_Toc11095"/>
      <w:bookmarkStart w:id="285" w:name="_Toc6714"/>
      <w:bookmarkStart w:id="286" w:name="_Toc30681"/>
      <w:r>
        <w:rPr>
          <w:rFonts w:ascii="Times New Roman" w:eastAsia="黑体" w:hAnsi="Times New Roman"/>
          <w:kern w:val="0"/>
          <w:sz w:val="32"/>
          <w:szCs w:val="32"/>
        </w:rPr>
        <w:t>三、预拌砂浆</w:t>
      </w:r>
      <w:bookmarkEnd w:id="274"/>
      <w:bookmarkEnd w:id="275"/>
      <w:bookmarkEnd w:id="276"/>
      <w:bookmarkEnd w:id="277"/>
      <w:bookmarkEnd w:id="278"/>
      <w:bookmarkEnd w:id="279"/>
      <w:bookmarkEnd w:id="280"/>
      <w:bookmarkEnd w:id="281"/>
      <w:bookmarkEnd w:id="282"/>
      <w:bookmarkEnd w:id="283"/>
      <w:r>
        <w:rPr>
          <w:rFonts w:ascii="Times New Roman" w:eastAsia="黑体" w:hAnsi="Times New Roman"/>
          <w:kern w:val="0"/>
          <w:sz w:val="32"/>
          <w:szCs w:val="32"/>
        </w:rPr>
        <w:t>布局规划</w:t>
      </w:r>
      <w:bookmarkEnd w:id="284"/>
      <w:bookmarkEnd w:id="285"/>
      <w:bookmarkEnd w:id="286"/>
    </w:p>
    <w:p w:rsidR="00D74912" w:rsidRDefault="00FE7708">
      <w:pPr>
        <w:widowControl/>
        <w:ind w:firstLineChars="100" w:firstLine="321"/>
        <w:outlineLvl w:val="2"/>
        <w:rPr>
          <w:rFonts w:ascii="Times New Roman" w:eastAsia="楷体" w:hAnsi="Times New Roman"/>
          <w:b/>
          <w:sz w:val="32"/>
          <w:szCs w:val="32"/>
        </w:rPr>
      </w:pPr>
      <w:bookmarkStart w:id="287" w:name="_Toc24076"/>
      <w:r>
        <w:rPr>
          <w:rFonts w:ascii="Times New Roman" w:eastAsia="楷体" w:hAnsi="Times New Roman"/>
          <w:b/>
          <w:sz w:val="32"/>
          <w:szCs w:val="32"/>
        </w:rPr>
        <w:t>（一）布局原则</w:t>
      </w:r>
    </w:p>
    <w:p w:rsidR="00D74912" w:rsidRDefault="00FE7708">
      <w:pPr>
        <w:adjustRightInd w:val="0"/>
        <w:snapToGrid w:val="0"/>
        <w:spacing w:line="360" w:lineRule="auto"/>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w:t>
      </w:r>
      <w:r>
        <w:rPr>
          <w:rFonts w:ascii="Times New Roman" w:eastAsia="仿宋_GB2312" w:hAnsi="Times New Roman"/>
          <w:bCs/>
          <w:kern w:val="0"/>
          <w:sz w:val="32"/>
          <w:szCs w:val="32"/>
        </w:rPr>
        <w:t>1</w:t>
      </w:r>
      <w:r>
        <w:rPr>
          <w:rFonts w:ascii="Times New Roman" w:eastAsia="仿宋_GB2312" w:hAnsi="Times New Roman"/>
          <w:bCs/>
          <w:kern w:val="0"/>
          <w:sz w:val="32"/>
          <w:szCs w:val="32"/>
        </w:rPr>
        <w:t>）合理布局，优化资源配置。</w:t>
      </w:r>
    </w:p>
    <w:p w:rsidR="00D74912" w:rsidRDefault="00FE7708">
      <w:pPr>
        <w:adjustRightInd w:val="0"/>
        <w:snapToGrid w:val="0"/>
        <w:spacing w:line="360" w:lineRule="auto"/>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预拌砂浆生产线建设应符合钦州市城市建设总体规划和土地规划要求；在布点上，一般宜设置在工业区和原材料产地附近，避开生态敏感区、饮用水源保护区和居民生活区等，禁止建立在风景区内；在生产上，应以市场为导向，合理确定生产线产能设计及产品品种，按阶段有序建设；在应用上，应以市区和县城为重点，主要供应城市建设工程，兼顾城镇建设和其他市政工程。</w:t>
      </w:r>
    </w:p>
    <w:p w:rsidR="00D74912" w:rsidRDefault="00FE7708">
      <w:pPr>
        <w:adjustRightInd w:val="0"/>
        <w:snapToGrid w:val="0"/>
        <w:spacing w:line="360" w:lineRule="auto"/>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w:t>
      </w:r>
      <w:r>
        <w:rPr>
          <w:rFonts w:ascii="Times New Roman" w:eastAsia="仿宋_GB2312" w:hAnsi="Times New Roman"/>
          <w:bCs/>
          <w:kern w:val="0"/>
          <w:sz w:val="32"/>
          <w:szCs w:val="32"/>
        </w:rPr>
        <w:t>2</w:t>
      </w:r>
      <w:r>
        <w:rPr>
          <w:rFonts w:ascii="Times New Roman" w:eastAsia="仿宋_GB2312" w:hAnsi="Times New Roman"/>
          <w:bCs/>
          <w:kern w:val="0"/>
          <w:sz w:val="32"/>
          <w:szCs w:val="32"/>
        </w:rPr>
        <w:t>）总量控制、科学发展。</w:t>
      </w:r>
    </w:p>
    <w:p w:rsidR="00D74912" w:rsidRDefault="00FE7708">
      <w:pPr>
        <w:adjustRightInd w:val="0"/>
        <w:snapToGrid w:val="0"/>
        <w:spacing w:line="360" w:lineRule="auto"/>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以生产企业数量和能力与市场需求相匹配为原则，实行总量控制，科学规划，保持适度竞争，提高市场占有率，避免无序投资、盲目跟风建设；坚持公平、公正、公开，开展市场有序竞争为原则，确保行业健康发展</w:t>
      </w:r>
    </w:p>
    <w:p w:rsidR="00D74912" w:rsidRDefault="00FE7708">
      <w:pPr>
        <w:adjustRightInd w:val="0"/>
        <w:snapToGrid w:val="0"/>
        <w:spacing w:line="360" w:lineRule="auto"/>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w:t>
      </w:r>
      <w:r>
        <w:rPr>
          <w:rFonts w:ascii="Times New Roman" w:eastAsia="仿宋_GB2312" w:hAnsi="Times New Roman"/>
          <w:bCs/>
          <w:kern w:val="0"/>
          <w:sz w:val="32"/>
          <w:szCs w:val="32"/>
        </w:rPr>
        <w:t>3</w:t>
      </w:r>
      <w:r>
        <w:rPr>
          <w:rFonts w:ascii="Times New Roman" w:eastAsia="仿宋_GB2312" w:hAnsi="Times New Roman"/>
          <w:bCs/>
          <w:kern w:val="0"/>
          <w:sz w:val="32"/>
          <w:szCs w:val="32"/>
        </w:rPr>
        <w:t>）节约资源、保护环境。</w:t>
      </w:r>
    </w:p>
    <w:p w:rsidR="00D74912" w:rsidRDefault="00FE7708">
      <w:pPr>
        <w:adjustRightInd w:val="0"/>
        <w:snapToGrid w:val="0"/>
        <w:spacing w:line="360" w:lineRule="auto"/>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按照资源优化配置原则，预拌砂浆生产线应尽量满足交通运输方便、主要原材料靠近及对城市环境污染小等要求，同时在建设生产过程中应严格执行环保标准，减少污染物排放和建筑噪声，实现文明施工，保护生态环境和居住环境，提高城市环境质量。</w:t>
      </w:r>
    </w:p>
    <w:p w:rsidR="00D74912" w:rsidRDefault="00FE7708">
      <w:pPr>
        <w:widowControl/>
        <w:ind w:firstLineChars="100" w:firstLine="321"/>
        <w:outlineLvl w:val="2"/>
        <w:rPr>
          <w:rFonts w:ascii="Times New Roman" w:eastAsia="楷体" w:hAnsi="Times New Roman"/>
          <w:b/>
          <w:sz w:val="32"/>
          <w:szCs w:val="32"/>
        </w:rPr>
      </w:pPr>
      <w:r>
        <w:rPr>
          <w:rFonts w:ascii="Times New Roman" w:eastAsia="楷体" w:hAnsi="Times New Roman"/>
          <w:b/>
          <w:sz w:val="32"/>
          <w:szCs w:val="32"/>
        </w:rPr>
        <w:lastRenderedPageBreak/>
        <w:t>（二）布局方案</w:t>
      </w:r>
      <w:bookmarkEnd w:id="287"/>
    </w:p>
    <w:p w:rsidR="00D74912" w:rsidRDefault="00FE7708">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规划期内，结合全市预拌砂浆需求量预测分析，到</w:t>
      </w:r>
      <w:r>
        <w:rPr>
          <w:rFonts w:ascii="Times New Roman" w:eastAsia="仿宋" w:hAnsi="Times New Roman"/>
          <w:sz w:val="32"/>
          <w:szCs w:val="32"/>
        </w:rPr>
        <w:t>2025</w:t>
      </w:r>
      <w:r>
        <w:rPr>
          <w:rFonts w:ascii="Times New Roman" w:eastAsia="仿宋" w:hAnsi="Times New Roman"/>
          <w:sz w:val="32"/>
          <w:szCs w:val="32"/>
        </w:rPr>
        <w:t>年，新增布局预拌砂浆生产站点不超过</w:t>
      </w:r>
      <w:r>
        <w:rPr>
          <w:rFonts w:ascii="Times New Roman" w:eastAsia="仿宋" w:hAnsi="Times New Roman"/>
          <w:sz w:val="32"/>
          <w:szCs w:val="32"/>
        </w:rPr>
        <w:t>4</w:t>
      </w:r>
      <w:r>
        <w:rPr>
          <w:rFonts w:ascii="Times New Roman" w:eastAsia="仿宋" w:hAnsi="Times New Roman"/>
          <w:sz w:val="32"/>
          <w:szCs w:val="32"/>
        </w:rPr>
        <w:t>个，详见表</w:t>
      </w:r>
      <w:r>
        <w:rPr>
          <w:rFonts w:ascii="Times New Roman" w:eastAsia="仿宋" w:hAnsi="Times New Roman" w:hint="eastAsia"/>
          <w:sz w:val="32"/>
          <w:szCs w:val="32"/>
        </w:rPr>
        <w:t>5</w:t>
      </w:r>
      <w:r>
        <w:rPr>
          <w:rFonts w:ascii="Times New Roman" w:eastAsia="仿宋" w:hAnsi="Times New Roman"/>
          <w:sz w:val="32"/>
          <w:szCs w:val="32"/>
        </w:rPr>
        <w:t>-2</w:t>
      </w:r>
      <w:r>
        <w:rPr>
          <w:rFonts w:ascii="Times New Roman" w:eastAsia="仿宋" w:hAnsi="Times New Roman"/>
          <w:sz w:val="32"/>
          <w:szCs w:val="32"/>
        </w:rPr>
        <w:t>。若规划期内市场需求超预期，区域干混砂浆产能利用率连续两年达</w:t>
      </w:r>
      <w:r>
        <w:rPr>
          <w:rFonts w:ascii="Times New Roman" w:eastAsia="仿宋" w:hAnsi="Times New Roman"/>
          <w:sz w:val="32"/>
          <w:szCs w:val="32"/>
        </w:rPr>
        <w:t>80%</w:t>
      </w:r>
      <w:r>
        <w:rPr>
          <w:rFonts w:ascii="Times New Roman" w:eastAsia="仿宋" w:hAnsi="Times New Roman"/>
          <w:sz w:val="32"/>
          <w:szCs w:val="32"/>
        </w:rPr>
        <w:t>以上（湿拌砂浆产能利用率连续两年达</w:t>
      </w:r>
      <w:r>
        <w:rPr>
          <w:rFonts w:ascii="Times New Roman" w:eastAsia="仿宋" w:hAnsi="Times New Roman"/>
          <w:sz w:val="32"/>
          <w:szCs w:val="32"/>
        </w:rPr>
        <w:t>60%</w:t>
      </w:r>
      <w:r>
        <w:rPr>
          <w:rFonts w:ascii="Times New Roman" w:eastAsia="仿宋" w:hAnsi="Times New Roman"/>
          <w:sz w:val="32"/>
          <w:szCs w:val="32"/>
        </w:rPr>
        <w:t>以上），可考虑适当增加预拌砂浆生产站点，特种砂浆不占规划指标。</w:t>
      </w:r>
    </w:p>
    <w:p w:rsidR="00D74912" w:rsidRDefault="00D74912">
      <w:pPr>
        <w:adjustRightInd w:val="0"/>
        <w:snapToGrid w:val="0"/>
        <w:jc w:val="center"/>
        <w:rPr>
          <w:rFonts w:ascii="Times New Roman" w:eastAsia="仿宋" w:hAnsi="Times New Roman"/>
          <w:sz w:val="24"/>
          <w:szCs w:val="24"/>
        </w:rPr>
      </w:pPr>
    </w:p>
    <w:p w:rsidR="00D74912" w:rsidRDefault="00FE7708">
      <w:pPr>
        <w:adjustRightInd w:val="0"/>
        <w:snapToGrid w:val="0"/>
        <w:jc w:val="center"/>
        <w:rPr>
          <w:rFonts w:ascii="Times New Roman" w:eastAsia="仿宋" w:hAnsi="Times New Roman"/>
          <w:b/>
          <w:bCs/>
          <w:sz w:val="24"/>
          <w:szCs w:val="24"/>
        </w:rPr>
      </w:pPr>
      <w:r>
        <w:rPr>
          <w:rFonts w:ascii="Times New Roman" w:eastAsia="仿宋" w:hAnsi="Times New Roman"/>
          <w:b/>
          <w:bCs/>
          <w:sz w:val="24"/>
          <w:szCs w:val="24"/>
        </w:rPr>
        <w:t>表</w:t>
      </w:r>
      <w:r>
        <w:rPr>
          <w:rFonts w:ascii="Times New Roman" w:eastAsia="仿宋" w:hAnsi="Times New Roman"/>
          <w:b/>
          <w:bCs/>
          <w:sz w:val="24"/>
          <w:szCs w:val="24"/>
        </w:rPr>
        <w:t xml:space="preserve">5-2 </w:t>
      </w:r>
      <w:r>
        <w:rPr>
          <w:rFonts w:ascii="Times New Roman" w:eastAsia="仿宋" w:hAnsi="Times New Roman"/>
          <w:b/>
          <w:bCs/>
          <w:sz w:val="24"/>
          <w:szCs w:val="24"/>
        </w:rPr>
        <w:t>钦州市预拌砂浆新增站点规划布局方案</w:t>
      </w:r>
      <w:r>
        <w:rPr>
          <w:rFonts w:ascii="Times New Roman" w:eastAsia="仿宋" w:hAnsi="Times New Roman" w:hint="eastAsia"/>
          <w:b/>
          <w:bCs/>
          <w:sz w:val="24"/>
          <w:szCs w:val="24"/>
        </w:rPr>
        <w:t>（</w:t>
      </w:r>
      <w:r>
        <w:rPr>
          <w:rFonts w:ascii="Times New Roman" w:eastAsia="仿宋" w:hAnsi="Times New Roman" w:hint="eastAsia"/>
          <w:b/>
          <w:bCs/>
          <w:sz w:val="24"/>
          <w:szCs w:val="24"/>
        </w:rPr>
        <w:t>2021-2025</w:t>
      </w:r>
      <w:r>
        <w:rPr>
          <w:rFonts w:ascii="Times New Roman" w:eastAsia="仿宋" w:hAnsi="Times New Roman" w:hint="eastAsia"/>
          <w:b/>
          <w:bCs/>
          <w:sz w:val="24"/>
          <w:szCs w:val="24"/>
        </w:rPr>
        <w:t>年）</w:t>
      </w:r>
    </w:p>
    <w:tbl>
      <w:tblPr>
        <w:tblW w:w="8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193"/>
        <w:gridCol w:w="939"/>
        <w:gridCol w:w="778"/>
        <w:gridCol w:w="939"/>
        <w:gridCol w:w="874"/>
        <w:gridCol w:w="939"/>
        <w:gridCol w:w="874"/>
        <w:gridCol w:w="1983"/>
      </w:tblGrid>
      <w:tr w:rsidR="00D74912">
        <w:trPr>
          <w:trHeight w:val="686"/>
        </w:trPr>
        <w:tc>
          <w:tcPr>
            <w:tcW w:w="1193" w:type="dxa"/>
            <w:vMerge w:val="restart"/>
            <w:shd w:val="clear" w:color="000000" w:fill="FFFFFF"/>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布点地区</w:t>
            </w:r>
          </w:p>
        </w:tc>
        <w:tc>
          <w:tcPr>
            <w:tcW w:w="1717" w:type="dxa"/>
            <w:gridSpan w:val="2"/>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现有量</w:t>
            </w:r>
          </w:p>
        </w:tc>
        <w:tc>
          <w:tcPr>
            <w:tcW w:w="1813" w:type="dxa"/>
            <w:gridSpan w:val="2"/>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规划期新增</w:t>
            </w:r>
          </w:p>
        </w:tc>
        <w:tc>
          <w:tcPr>
            <w:tcW w:w="1813" w:type="dxa"/>
            <w:gridSpan w:val="2"/>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2025</w:t>
            </w:r>
            <w:r>
              <w:rPr>
                <w:rFonts w:ascii="Times New Roman" w:eastAsia="仿宋" w:hAnsi="Times New Roman"/>
                <w:b/>
                <w:bCs/>
                <w:color w:val="000000" w:themeColor="text1"/>
                <w:sz w:val="24"/>
                <w:szCs w:val="24"/>
              </w:rPr>
              <w:t>年控制量</w:t>
            </w:r>
          </w:p>
        </w:tc>
        <w:tc>
          <w:tcPr>
            <w:tcW w:w="1983" w:type="dxa"/>
            <w:vMerge w:val="restart"/>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备注</w:t>
            </w:r>
          </w:p>
        </w:tc>
      </w:tr>
      <w:tr w:rsidR="00D74912">
        <w:trPr>
          <w:trHeight w:val="145"/>
        </w:trPr>
        <w:tc>
          <w:tcPr>
            <w:tcW w:w="1193" w:type="dxa"/>
            <w:vMerge/>
            <w:shd w:val="clear" w:color="000000" w:fill="FFFFFF"/>
            <w:vAlign w:val="center"/>
          </w:tcPr>
          <w:p w:rsidR="00D74912" w:rsidRDefault="00D74912">
            <w:pPr>
              <w:adjustRightInd w:val="0"/>
              <w:snapToGrid w:val="0"/>
              <w:jc w:val="center"/>
              <w:rPr>
                <w:rFonts w:ascii="Times New Roman" w:eastAsia="仿宋" w:hAnsi="Times New Roman"/>
                <w:color w:val="000000" w:themeColor="text1"/>
                <w:sz w:val="24"/>
                <w:szCs w:val="24"/>
              </w:rPr>
            </w:pPr>
          </w:p>
        </w:tc>
        <w:tc>
          <w:tcPr>
            <w:tcW w:w="939"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站点（个）</w:t>
            </w:r>
          </w:p>
        </w:tc>
        <w:tc>
          <w:tcPr>
            <w:tcW w:w="778"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产能</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t</w:t>
            </w:r>
            <w:r>
              <w:rPr>
                <w:rFonts w:ascii="Times New Roman" w:eastAsia="仿宋" w:hAnsi="Times New Roman"/>
                <w:b/>
                <w:bCs/>
                <w:color w:val="000000" w:themeColor="text1"/>
                <w:sz w:val="24"/>
                <w:szCs w:val="24"/>
              </w:rPr>
              <w:t>）</w:t>
            </w:r>
          </w:p>
        </w:tc>
        <w:tc>
          <w:tcPr>
            <w:tcW w:w="939"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站点</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（个）</w:t>
            </w:r>
          </w:p>
        </w:tc>
        <w:tc>
          <w:tcPr>
            <w:tcW w:w="874"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产能</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t</w:t>
            </w:r>
            <w:r>
              <w:rPr>
                <w:rFonts w:ascii="Times New Roman" w:eastAsia="仿宋" w:hAnsi="Times New Roman"/>
                <w:b/>
                <w:bCs/>
                <w:color w:val="000000" w:themeColor="text1"/>
                <w:sz w:val="24"/>
                <w:szCs w:val="24"/>
              </w:rPr>
              <w:t>）</w:t>
            </w:r>
          </w:p>
        </w:tc>
        <w:tc>
          <w:tcPr>
            <w:tcW w:w="939"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站点</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（个）</w:t>
            </w:r>
          </w:p>
        </w:tc>
        <w:tc>
          <w:tcPr>
            <w:tcW w:w="874" w:type="dxa"/>
            <w:vAlign w:val="center"/>
          </w:tcPr>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产能</w:t>
            </w:r>
          </w:p>
          <w:p w:rsidR="00D74912" w:rsidRDefault="00FE7708">
            <w:pPr>
              <w:adjustRightInd w:val="0"/>
              <w:snapToGrid w:val="0"/>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w:t>
            </w:r>
            <w:r>
              <w:rPr>
                <w:rFonts w:ascii="Times New Roman" w:eastAsia="仿宋" w:hAnsi="Times New Roman"/>
                <w:b/>
                <w:bCs/>
                <w:color w:val="000000" w:themeColor="text1"/>
                <w:sz w:val="24"/>
                <w:szCs w:val="24"/>
              </w:rPr>
              <w:t>t</w:t>
            </w:r>
            <w:r>
              <w:rPr>
                <w:rFonts w:ascii="Times New Roman" w:eastAsia="仿宋" w:hAnsi="Times New Roman"/>
                <w:b/>
                <w:bCs/>
                <w:color w:val="000000" w:themeColor="text1"/>
                <w:sz w:val="24"/>
                <w:szCs w:val="24"/>
              </w:rPr>
              <w:t>）</w:t>
            </w:r>
          </w:p>
        </w:tc>
        <w:tc>
          <w:tcPr>
            <w:tcW w:w="1983" w:type="dxa"/>
            <w:vMerge/>
            <w:vAlign w:val="center"/>
          </w:tcPr>
          <w:p w:rsidR="00D74912" w:rsidRDefault="00D74912">
            <w:pPr>
              <w:adjustRightInd w:val="0"/>
              <w:snapToGrid w:val="0"/>
              <w:jc w:val="center"/>
              <w:rPr>
                <w:rFonts w:ascii="Times New Roman" w:eastAsia="仿宋" w:hAnsi="Times New Roman"/>
                <w:color w:val="000000" w:themeColor="text1"/>
                <w:sz w:val="24"/>
                <w:szCs w:val="24"/>
              </w:rPr>
            </w:pPr>
          </w:p>
        </w:tc>
      </w:tr>
      <w:tr w:rsidR="00D74912">
        <w:tc>
          <w:tcPr>
            <w:tcW w:w="1193" w:type="dxa"/>
            <w:shd w:val="clear" w:color="000000" w:fill="FFFFFF"/>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钦北区</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778"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40</w:t>
            </w:r>
          </w:p>
        </w:tc>
        <w:tc>
          <w:tcPr>
            <w:tcW w:w="1983"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新增站点宜布局在大寺、那蒙镇周边</w:t>
            </w:r>
          </w:p>
        </w:tc>
      </w:tr>
      <w:tr w:rsidR="00D74912">
        <w:tc>
          <w:tcPr>
            <w:tcW w:w="1193" w:type="dxa"/>
            <w:shd w:val="clear" w:color="000000" w:fill="FFFFFF"/>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钦南区</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778"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45</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65</w:t>
            </w:r>
          </w:p>
        </w:tc>
        <w:tc>
          <w:tcPr>
            <w:tcW w:w="1983"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新增站点宜布局在那彭镇周边</w:t>
            </w:r>
          </w:p>
        </w:tc>
      </w:tr>
      <w:tr w:rsidR="00D74912">
        <w:tc>
          <w:tcPr>
            <w:tcW w:w="1193" w:type="dxa"/>
            <w:shd w:val="clear" w:color="000000" w:fill="FFFFFF"/>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浦北县</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778"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50</w:t>
            </w:r>
          </w:p>
        </w:tc>
        <w:tc>
          <w:tcPr>
            <w:tcW w:w="1983"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满足现有需求，不再新增站点</w:t>
            </w:r>
          </w:p>
        </w:tc>
      </w:tr>
      <w:tr w:rsidR="00D74912">
        <w:trPr>
          <w:trHeight w:val="301"/>
        </w:trPr>
        <w:tc>
          <w:tcPr>
            <w:tcW w:w="1193" w:type="dxa"/>
            <w:shd w:val="clear" w:color="000000" w:fill="FFFFFF"/>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灵山县</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778"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30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1</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20</w:t>
            </w:r>
          </w:p>
        </w:tc>
        <w:tc>
          <w:tcPr>
            <w:tcW w:w="939"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2</w:t>
            </w:r>
          </w:p>
        </w:tc>
        <w:tc>
          <w:tcPr>
            <w:tcW w:w="874"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50</w:t>
            </w:r>
          </w:p>
        </w:tc>
        <w:tc>
          <w:tcPr>
            <w:tcW w:w="1983" w:type="dxa"/>
            <w:vAlign w:val="center"/>
          </w:tcPr>
          <w:p w:rsidR="00D74912" w:rsidRDefault="00FE7708">
            <w:pPr>
              <w:adjustRightInd w:val="0"/>
              <w:snapToGrid w:val="0"/>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新增站点宜布局在檀圩、新圩镇周边</w:t>
            </w:r>
          </w:p>
        </w:tc>
      </w:tr>
    </w:tbl>
    <w:p w:rsidR="00D74912" w:rsidRDefault="00D74912">
      <w:pPr>
        <w:adjustRightInd w:val="0"/>
        <w:snapToGrid w:val="0"/>
        <w:spacing w:line="360" w:lineRule="auto"/>
        <w:ind w:firstLineChars="200" w:firstLine="640"/>
        <w:rPr>
          <w:rFonts w:ascii="Times New Roman" w:eastAsia="仿宋_GB2312" w:hAnsi="Times New Roman"/>
          <w:kern w:val="0"/>
          <w:sz w:val="32"/>
          <w:szCs w:val="32"/>
        </w:rPr>
      </w:pPr>
    </w:p>
    <w:p w:rsidR="00D74912" w:rsidRDefault="00D74912">
      <w:pPr>
        <w:adjustRightInd w:val="0"/>
        <w:snapToGrid w:val="0"/>
        <w:spacing w:line="360" w:lineRule="auto"/>
        <w:ind w:firstLineChars="200" w:firstLine="640"/>
        <w:rPr>
          <w:rFonts w:ascii="Times New Roman" w:eastAsia="仿宋" w:hAnsi="Times New Roman"/>
          <w:sz w:val="32"/>
          <w:szCs w:val="32"/>
        </w:rPr>
        <w:sectPr w:rsidR="00D74912">
          <w:pgSz w:w="11906" w:h="16838"/>
          <w:pgMar w:top="1440" w:right="1800" w:bottom="1440" w:left="1800" w:header="851" w:footer="992" w:gutter="0"/>
          <w:cols w:space="425"/>
          <w:docGrid w:type="lines" w:linePitch="312"/>
        </w:sectPr>
      </w:pPr>
    </w:p>
    <w:p w:rsidR="00D74912" w:rsidRDefault="00FE7708" w:rsidP="00E82BEF">
      <w:pPr>
        <w:widowControl/>
        <w:adjustRightInd w:val="0"/>
        <w:snapToGrid w:val="0"/>
        <w:spacing w:afterLines="100" w:line="360" w:lineRule="auto"/>
        <w:jc w:val="center"/>
        <w:outlineLvl w:val="0"/>
        <w:rPr>
          <w:rFonts w:ascii="Times New Roman" w:hAnsi="Times New Roman"/>
        </w:rPr>
      </w:pPr>
      <w:bookmarkStart w:id="288" w:name="_Toc23224"/>
      <w:bookmarkStart w:id="289" w:name="_Toc89203818"/>
      <w:bookmarkStart w:id="290" w:name="_Toc16164"/>
      <w:bookmarkStart w:id="291" w:name="_Toc25483"/>
      <w:r>
        <w:rPr>
          <w:rFonts w:ascii="Times New Roman" w:eastAsia="黑体" w:hAnsi="Times New Roman"/>
          <w:kern w:val="0"/>
          <w:sz w:val="36"/>
          <w:szCs w:val="36"/>
        </w:rPr>
        <w:lastRenderedPageBreak/>
        <w:t>第六章</w:t>
      </w:r>
      <w:r>
        <w:rPr>
          <w:rFonts w:ascii="Times New Roman" w:eastAsia="黑体" w:hAnsi="Times New Roman"/>
          <w:kern w:val="0"/>
          <w:sz w:val="36"/>
          <w:szCs w:val="36"/>
        </w:rPr>
        <w:t xml:space="preserve"> </w:t>
      </w:r>
      <w:r>
        <w:rPr>
          <w:rFonts w:ascii="Times New Roman" w:eastAsia="黑体" w:hAnsi="Times New Roman"/>
          <w:kern w:val="0"/>
          <w:sz w:val="36"/>
          <w:szCs w:val="36"/>
        </w:rPr>
        <w:t>保障措施</w:t>
      </w:r>
      <w:bookmarkEnd w:id="288"/>
      <w:bookmarkEnd w:id="289"/>
      <w:bookmarkEnd w:id="290"/>
      <w:bookmarkEnd w:id="291"/>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292" w:name="_Toc13019"/>
      <w:bookmarkStart w:id="293" w:name="_Toc16028"/>
      <w:bookmarkStart w:id="294" w:name="_Toc16305"/>
      <w:bookmarkStart w:id="295" w:name="_Toc22323"/>
      <w:bookmarkStart w:id="296" w:name="_Toc18109"/>
      <w:bookmarkStart w:id="297" w:name="_Toc16990"/>
      <w:bookmarkStart w:id="298" w:name="_Toc568"/>
      <w:bookmarkStart w:id="299" w:name="_Toc6169"/>
      <w:bookmarkStart w:id="300" w:name="_Toc13837"/>
      <w:bookmarkStart w:id="301" w:name="_Toc23756"/>
      <w:bookmarkStart w:id="302" w:name="_Toc16174"/>
      <w:bookmarkStart w:id="303" w:name="_Toc89203819"/>
      <w:bookmarkStart w:id="304" w:name="_Toc21993337"/>
      <w:bookmarkStart w:id="305" w:name="_Toc4833"/>
      <w:bookmarkStart w:id="306" w:name="_Toc20532"/>
      <w:r>
        <w:rPr>
          <w:rFonts w:ascii="Times New Roman" w:eastAsia="黑体" w:hAnsi="Times New Roman"/>
          <w:bCs/>
          <w:sz w:val="32"/>
          <w:szCs w:val="26"/>
        </w:rPr>
        <w:t>一、加强组织领导，明确部门分工</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一是积极贯彻《条例》要求，加强组织领导，明确部门分工（详见专栏</w:t>
      </w:r>
      <w:r>
        <w:rPr>
          <w:rFonts w:ascii="Times New Roman" w:eastAsia="仿宋" w:hAnsi="Times New Roman"/>
          <w:kern w:val="0"/>
          <w:sz w:val="32"/>
          <w:szCs w:val="32"/>
        </w:rPr>
        <w:t>1</w:t>
      </w:r>
      <w:r>
        <w:rPr>
          <w:rFonts w:ascii="Times New Roman" w:eastAsia="仿宋" w:hAnsi="Times New Roman"/>
          <w:kern w:val="0"/>
          <w:sz w:val="32"/>
          <w:szCs w:val="32"/>
        </w:rPr>
        <w:t>），加强部门联动，形成发展合力，推进禁止现场搅拌混凝土、禁止现场搅拌砂浆，规范临时现场搅拌混凝土拌和站的管理。</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二是加强部门协同，借助信息化管理手段及诚信体系平台建设，充分发挥各有关部门的职能优势，加强协调配合及监督执法力度，全面规范预拌混凝土和预拌砂浆市场秩序，全面禁用无专业承包资质搅拌站生产的预拌混凝土，确保政策到位，质量管理到位，监督检查、依法行政到位，保证产品质量有效控制。</w:t>
      </w:r>
    </w:p>
    <w:p w:rsidR="00D74912" w:rsidRDefault="00FE7708">
      <w:pPr>
        <w:adjustRightInd w:val="0"/>
        <w:snapToGrid w:val="0"/>
        <w:spacing w:line="360" w:lineRule="auto"/>
        <w:ind w:firstLineChars="200" w:firstLine="560"/>
        <w:jc w:val="center"/>
        <w:rPr>
          <w:rFonts w:ascii="Times New Roman" w:eastAsia="仿宋" w:hAnsi="Times New Roman"/>
          <w:kern w:val="0"/>
          <w:sz w:val="32"/>
          <w:szCs w:val="32"/>
        </w:rPr>
      </w:pPr>
      <w:r>
        <w:rPr>
          <w:rFonts w:ascii="Times New Roman" w:eastAsia="黑体" w:hAnsi="Times New Roman"/>
          <w:bCs/>
          <w:sz w:val="28"/>
          <w:szCs w:val="28"/>
        </w:rPr>
        <w:t>专栏</w:t>
      </w:r>
      <w:r>
        <w:rPr>
          <w:rFonts w:ascii="Times New Roman" w:eastAsia="黑体" w:hAnsi="Times New Roman"/>
          <w:bCs/>
          <w:sz w:val="28"/>
          <w:szCs w:val="28"/>
        </w:rPr>
        <w:t xml:space="preserve">1 </w:t>
      </w:r>
      <w:r>
        <w:rPr>
          <w:rFonts w:ascii="Times New Roman" w:eastAsia="黑体" w:hAnsi="Times New Roman"/>
          <w:bCs/>
          <w:sz w:val="28"/>
          <w:szCs w:val="28"/>
        </w:rPr>
        <w:t>各部门职责划分情况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D74912">
        <w:tc>
          <w:tcPr>
            <w:tcW w:w="8522" w:type="dxa"/>
          </w:tcPr>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1</w:t>
            </w:r>
            <w:r>
              <w:rPr>
                <w:rFonts w:ascii="Times New Roman" w:eastAsia="仿宋" w:hAnsi="Times New Roman"/>
                <w:sz w:val="24"/>
                <w:szCs w:val="24"/>
              </w:rPr>
              <w:t>、市、县（区）工业主管部门负责本行政区域预拌混凝土和预拌砂浆发展和应用的监督管理；负责牵头组织发展改革、绩效考评、财政、自然资源、生态环境、住房城乡建设、市场监管、城市管理、交通运输、水利、应急、公安等有关部门，形成和完善部门会商工作机制，加强对预拌混凝土和预拌砂浆发展和应用工作的指导；负责落实国家、自治区和本市发展预拌混凝土和预拌砂浆的各项政策要求；负责加强预拌混凝土和预拌砂浆有关标准规范和管理制度的监督落实。</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2</w:t>
            </w:r>
            <w:r>
              <w:rPr>
                <w:rFonts w:ascii="Times New Roman" w:eastAsia="仿宋" w:hAnsi="Times New Roman"/>
                <w:sz w:val="24"/>
                <w:szCs w:val="24"/>
              </w:rPr>
              <w:t>、县（区）工业主管部门负责会同有关部门，按照国家、自治区和市有关规定，结合本市产业发展规划和实际情况，划定禁止现场搅拌混凝土及砂浆的具体区域和起始时间，报本级人民政府批准并向社会公布实施。在禁止现场搅拌区域内的建设工程，严禁使用袋装水泥、现场搅拌混凝土、现场搅拌砂浆。</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工业主管部门负责会同有关部门，按照国家、自治区和市有关规定，依法取缔未取得专业承包资质的预拌混凝土企业和无备案登记预拌砂浆企业，依法严肃查处预拌混凝土使用单位使用无专业承包资质预拌混凝土企业生产、销售的预拌混凝土。</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3</w:t>
            </w:r>
            <w:r>
              <w:rPr>
                <w:rFonts w:ascii="Times New Roman" w:eastAsia="仿宋" w:hAnsi="Times New Roman"/>
                <w:sz w:val="24"/>
                <w:szCs w:val="24"/>
              </w:rPr>
              <w:t>、工业和信息化部门负责编制和落实《钦州市预拌混凝土及预拌砂浆产业发展规划》；负责建设预拌混凝土和预拌砂浆生产企业的诚信体系建设；负责预</w:t>
            </w:r>
            <w:r>
              <w:rPr>
                <w:rFonts w:ascii="Times New Roman" w:eastAsia="仿宋" w:hAnsi="Times New Roman"/>
                <w:sz w:val="24"/>
                <w:szCs w:val="24"/>
              </w:rPr>
              <w:lastRenderedPageBreak/>
              <w:t>拌混凝土及预拌砂浆行业监管信息平台建设；负责开展高性能混凝土推广以及预拌混凝土和预拌砂浆绿色生产评价和标识管理等工作，推动预拌混凝土和预拌砂浆产业技术创新、优化升级、提质增效、健康发展；负责落实碳达峰碳中和有关决策部署，全面推广绿色低碳混凝土（砂浆）的应用，推动行业向智能化、数字化转型。协调相关部门，采取综合措施，奖优治劣，推进供给侧结构性改革，促进企业提质升档，做强做大。</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4</w:t>
            </w:r>
            <w:r>
              <w:rPr>
                <w:rFonts w:ascii="Times New Roman" w:eastAsia="仿宋" w:hAnsi="Times New Roman"/>
                <w:sz w:val="24"/>
                <w:szCs w:val="24"/>
              </w:rPr>
              <w:t>、市场监管部门负责预拌混凝土和预拌砂浆生产企业出厂产品质量和计量的监督。</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5</w:t>
            </w:r>
            <w:r>
              <w:rPr>
                <w:rFonts w:ascii="Times New Roman" w:eastAsia="仿宋" w:hAnsi="Times New Roman"/>
                <w:sz w:val="24"/>
                <w:szCs w:val="24"/>
              </w:rPr>
              <w:t>、生态环境部门负责预拌混凝土和预拌砂浆生产企业环境保护和污染防治工作的监督管理</w:t>
            </w:r>
            <w:r>
              <w:rPr>
                <w:rFonts w:ascii="Times New Roman" w:eastAsia="仿宋" w:hAnsi="Times New Roman"/>
                <w:sz w:val="24"/>
                <w:szCs w:val="24"/>
              </w:rPr>
              <w:t>,</w:t>
            </w:r>
            <w:r>
              <w:rPr>
                <w:rFonts w:ascii="Times New Roman" w:eastAsia="仿宋" w:hAnsi="Times New Roman"/>
                <w:sz w:val="24"/>
                <w:szCs w:val="24"/>
              </w:rPr>
              <w:t>结合产业发展规划要求审批项目环境影响评价报告。</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6</w:t>
            </w:r>
            <w:r>
              <w:rPr>
                <w:rFonts w:ascii="Times New Roman" w:eastAsia="仿宋" w:hAnsi="Times New Roman"/>
                <w:sz w:val="24"/>
                <w:szCs w:val="24"/>
              </w:rPr>
              <w:t>、自然资源部门负责审核预拌混凝土和预拌砂浆生产企业项目建设用地是否符合国土空间规划要求，结合产业发展规划做好项目建设用地审批。</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7</w:t>
            </w:r>
            <w:r>
              <w:rPr>
                <w:rFonts w:ascii="Times New Roman" w:eastAsia="仿宋" w:hAnsi="Times New Roman"/>
                <w:sz w:val="24"/>
                <w:szCs w:val="24"/>
              </w:rPr>
              <w:t>、</w:t>
            </w:r>
            <w:r>
              <w:rPr>
                <w:rFonts w:ascii="Times New Roman" w:eastAsia="仿宋" w:hAnsi="Times New Roman"/>
                <w:sz w:val="24"/>
                <w:szCs w:val="24"/>
              </w:rPr>
              <w:t xml:space="preserve"> </w:t>
            </w:r>
            <w:r>
              <w:rPr>
                <w:rFonts w:ascii="Times New Roman" w:eastAsia="仿宋" w:hAnsi="Times New Roman"/>
                <w:sz w:val="24"/>
                <w:szCs w:val="24"/>
              </w:rPr>
              <w:t>住房城乡建设部门负责核发预拌混凝土专业承包资质；应当及时采集和发布预拌混凝土和预拌砂浆的价格信息，联合市场监管等部门加强对低于成本价销售行为企业的督查。</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市、县（区）住房城乡建设部门负责预拌混凝土专业承包资质的动态核查。</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8</w:t>
            </w:r>
            <w:r>
              <w:rPr>
                <w:rFonts w:ascii="Times New Roman" w:eastAsia="仿宋" w:hAnsi="Times New Roman"/>
                <w:sz w:val="24"/>
                <w:szCs w:val="24"/>
              </w:rPr>
              <w:t>、应急管理部门负责预拌混凝土和预拌砂浆生产企业安全生产工作实施综合监督管理。</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9</w:t>
            </w:r>
            <w:r>
              <w:rPr>
                <w:rFonts w:ascii="Times New Roman" w:eastAsia="仿宋" w:hAnsi="Times New Roman"/>
                <w:sz w:val="24"/>
                <w:szCs w:val="24"/>
              </w:rPr>
              <w:t>、住房城乡建设、交通运输、水利等部门负责本行业预拌混凝土和预拌砂浆使用单位及使用活动的监督检查。</w:t>
            </w:r>
          </w:p>
          <w:p w:rsidR="00D74912" w:rsidRDefault="00FE7708">
            <w:pPr>
              <w:adjustRightInd w:val="0"/>
              <w:snapToGrid w:val="0"/>
              <w:ind w:firstLineChars="200" w:firstLine="480"/>
              <w:rPr>
                <w:rFonts w:ascii="Times New Roman" w:eastAsia="仿宋" w:hAnsi="Times New Roman"/>
                <w:sz w:val="24"/>
                <w:szCs w:val="24"/>
              </w:rPr>
            </w:pPr>
            <w:r>
              <w:rPr>
                <w:rFonts w:ascii="Times New Roman" w:eastAsia="仿宋" w:hAnsi="Times New Roman"/>
                <w:sz w:val="24"/>
                <w:szCs w:val="24"/>
              </w:rPr>
              <w:t>10</w:t>
            </w:r>
            <w:r>
              <w:rPr>
                <w:rFonts w:ascii="Times New Roman" w:eastAsia="仿宋" w:hAnsi="Times New Roman"/>
                <w:sz w:val="24"/>
                <w:szCs w:val="24"/>
              </w:rPr>
              <w:t>、预拌混凝土和预拌砂浆相关行业协会应根据法律、法规和规章的规定，独立充分开展工作，加强行业自律和服务体系建设，有效发挥行业的桥梁纽带作用和协调机制功能。</w:t>
            </w:r>
          </w:p>
        </w:tc>
      </w:tr>
    </w:tbl>
    <w:p w:rsidR="00D74912" w:rsidRDefault="00D74912">
      <w:pPr>
        <w:rPr>
          <w:rFonts w:ascii="Times New Roman" w:hAnsi="Times New Roman"/>
        </w:rPr>
      </w:pPr>
      <w:bookmarkStart w:id="307" w:name="_Toc16803"/>
      <w:bookmarkStart w:id="308" w:name="_Toc27605"/>
      <w:bookmarkStart w:id="309" w:name="_Toc21496"/>
      <w:bookmarkStart w:id="310" w:name="_Toc17744"/>
      <w:bookmarkStart w:id="311" w:name="_Toc89203820"/>
      <w:bookmarkStart w:id="312" w:name="_Toc15893"/>
      <w:bookmarkStart w:id="313" w:name="_Toc30145"/>
      <w:bookmarkStart w:id="314" w:name="_Toc22064"/>
      <w:bookmarkStart w:id="315" w:name="_Toc16357"/>
      <w:bookmarkStart w:id="316" w:name="_Toc5913"/>
      <w:bookmarkStart w:id="317" w:name="_Toc9103"/>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318" w:name="_Toc28375"/>
      <w:bookmarkStart w:id="319" w:name="_Toc30680"/>
      <w:bookmarkStart w:id="320" w:name="_Toc1236"/>
      <w:r>
        <w:rPr>
          <w:rFonts w:ascii="Times New Roman" w:eastAsia="黑体" w:hAnsi="Times New Roman"/>
          <w:bCs/>
          <w:sz w:val="32"/>
          <w:szCs w:val="26"/>
        </w:rPr>
        <w:t>二、完善政策措施，强化监督管理</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D74912" w:rsidRDefault="00FE7708">
      <w:pPr>
        <w:adjustRightInd w:val="0"/>
        <w:snapToGrid w:val="0"/>
        <w:spacing w:line="360" w:lineRule="auto"/>
        <w:ind w:firstLineChars="200" w:firstLine="640"/>
        <w:rPr>
          <w:rFonts w:ascii="Times New Roman" w:eastAsia="仿宋" w:hAnsi="Times New Roman"/>
        </w:rPr>
      </w:pPr>
      <w:r>
        <w:rPr>
          <w:rFonts w:ascii="Times New Roman" w:eastAsia="仿宋" w:hAnsi="Times New Roman"/>
          <w:kern w:val="0"/>
          <w:sz w:val="32"/>
          <w:szCs w:val="32"/>
        </w:rPr>
        <w:t>进一步明确散装水泥行业的主管部门及职能，理顺与相关部门的工作关系，制定落实《条例》的地方配套政策；制定出台禁止现场搅拌混凝土、砂浆的具体区域和起始时间，报本级人民政府批准并向社会公布实施；制定出台预拌混凝土和预拌砂浆管理办法，落实准入门槛及淘汰落后产能的具体措施；加快制定出台水泥制品产业相关管理配套政策，加强对产业发展的引导和约束，推动散装水泥下游预制构件及制品产业转型升级；制定相关政策，倡导清洁生产，及时开展针对生产企业的绿色评价及清洁化生产改造工作</w:t>
      </w:r>
      <w:bookmarkStart w:id="321" w:name="_Toc2343"/>
      <w:r>
        <w:rPr>
          <w:rFonts w:ascii="Times New Roman" w:eastAsia="仿宋" w:hAnsi="Times New Roman"/>
          <w:kern w:val="0"/>
          <w:sz w:val="32"/>
          <w:szCs w:val="32"/>
        </w:rPr>
        <w:t>；出台企</w:t>
      </w:r>
      <w:r>
        <w:rPr>
          <w:rFonts w:ascii="Times New Roman" w:eastAsia="仿宋" w:hAnsi="Times New Roman"/>
          <w:kern w:val="0"/>
          <w:sz w:val="32"/>
          <w:szCs w:val="32"/>
        </w:rPr>
        <w:lastRenderedPageBreak/>
        <w:t>业信用评价管理办法，推进行业诚信体系建设；制定相关鼓励政策，鼓励现有生产企业成立技术研发中心，提高产业技术创新水平。</w:t>
      </w:r>
      <w:bookmarkStart w:id="322" w:name="_Toc24116"/>
      <w:bookmarkStart w:id="323" w:name="_Toc24248"/>
      <w:bookmarkEnd w:id="321"/>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324" w:name="_Toc2945"/>
      <w:bookmarkStart w:id="325" w:name="_Toc7285"/>
      <w:bookmarkStart w:id="326" w:name="_Toc5033"/>
      <w:bookmarkStart w:id="327" w:name="_Toc24236"/>
      <w:bookmarkStart w:id="328" w:name="_Toc2846"/>
      <w:bookmarkStart w:id="329" w:name="_Toc4723"/>
      <w:bookmarkStart w:id="330" w:name="_Toc19175"/>
      <w:bookmarkStart w:id="331" w:name="_Toc89203821"/>
      <w:bookmarkStart w:id="332" w:name="_Toc5655"/>
      <w:bookmarkStart w:id="333" w:name="_Toc13251"/>
      <w:bookmarkStart w:id="334" w:name="_Toc6625"/>
      <w:bookmarkStart w:id="335" w:name="_Toc5920"/>
      <w:r>
        <w:rPr>
          <w:rFonts w:ascii="Times New Roman" w:eastAsia="黑体" w:hAnsi="Times New Roman"/>
          <w:bCs/>
          <w:sz w:val="32"/>
          <w:szCs w:val="26"/>
        </w:rPr>
        <w:t>三、加强监管信息化建设，</w:t>
      </w:r>
      <w:bookmarkEnd w:id="322"/>
      <w:bookmarkEnd w:id="323"/>
      <w:r>
        <w:rPr>
          <w:rFonts w:ascii="Times New Roman" w:eastAsia="黑体" w:hAnsi="Times New Roman"/>
          <w:bCs/>
          <w:sz w:val="32"/>
          <w:szCs w:val="26"/>
        </w:rPr>
        <w:t>规范协会管理</w:t>
      </w:r>
      <w:bookmarkEnd w:id="324"/>
      <w:bookmarkEnd w:id="325"/>
      <w:bookmarkEnd w:id="326"/>
      <w:bookmarkEnd w:id="327"/>
      <w:bookmarkEnd w:id="328"/>
      <w:bookmarkEnd w:id="329"/>
      <w:bookmarkEnd w:id="330"/>
      <w:bookmarkEnd w:id="331"/>
      <w:bookmarkEnd w:id="332"/>
      <w:bookmarkEnd w:id="333"/>
      <w:bookmarkEnd w:id="334"/>
      <w:bookmarkEnd w:id="335"/>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有计划、分阶段建成与自治区标准统一、高效衔接、信息共享的散装水泥、预拌混凝土、预拌砂浆电子政务平台，提高管理效能。加强预拌混凝土、预拌砂浆生产实时监控、散装水泥行政执法、生产企业等级及绿色评价等工作的信息化管理功能建设。注重充分发挥行业协会的桥梁纽带作用，加强行业协会规范管理，使协会成为完善市场机制的重要载体和规范市场竞争秩序的重要通道，推动企业行为自律。积极推动协会引导行业转型升级、创新发展，加强标准化规范化建设，强化质量品牌建设，为行业健康发展建言献策。</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336" w:name="_Toc18173"/>
      <w:bookmarkStart w:id="337" w:name="_Toc2798"/>
      <w:bookmarkStart w:id="338" w:name="_Toc29488"/>
      <w:bookmarkStart w:id="339" w:name="_Toc938"/>
      <w:bookmarkStart w:id="340" w:name="_Toc18839"/>
      <w:bookmarkStart w:id="341" w:name="_Toc4682"/>
      <w:bookmarkStart w:id="342" w:name="_Toc24772"/>
      <w:bookmarkStart w:id="343" w:name="_Toc15474"/>
      <w:bookmarkStart w:id="344" w:name="_Toc89203822"/>
      <w:bookmarkStart w:id="345" w:name="_Toc18215"/>
      <w:bookmarkStart w:id="346" w:name="_Toc7306"/>
      <w:bookmarkStart w:id="347" w:name="_Toc23167"/>
      <w:bookmarkStart w:id="348" w:name="_Toc13468"/>
      <w:bookmarkStart w:id="349" w:name="_Toc17715"/>
      <w:r>
        <w:rPr>
          <w:rFonts w:ascii="Times New Roman" w:eastAsia="黑体" w:hAnsi="Times New Roman"/>
          <w:bCs/>
          <w:sz w:val="32"/>
          <w:szCs w:val="26"/>
        </w:rPr>
        <w:t>四、加快人才培养，提高服务能力</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一是充分依托人才激励政策，吸收优秀专业人才加入行业，加大复合型、创新型人才培养力度。结合行业的发展需求，组织开展标准宣传贯彻、管理与质量控制能力提升、清洁生产、诚信体系建设、标准化试验室建设与管理、新产品开发等方面学习交流，全面提升行业技术人员的技术水平和管理能力，为技术创新夯实基础。</w:t>
      </w:r>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二是加强对散装水泥发展和应用管理人员的培训，不断提高人员综合素质，以便更好地为行业发展服务。提高有关</w:t>
      </w:r>
      <w:r>
        <w:rPr>
          <w:rFonts w:ascii="Times New Roman" w:eastAsia="仿宋" w:hAnsi="Times New Roman"/>
          <w:kern w:val="0"/>
          <w:sz w:val="32"/>
          <w:szCs w:val="32"/>
        </w:rPr>
        <w:lastRenderedPageBreak/>
        <w:t>管理和技术人员素质，培养一批高素质的预拌砂浆、高性能混凝土的技术研究、应用和管理人才。</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350" w:name="_Toc29502"/>
      <w:bookmarkStart w:id="351" w:name="_Toc12505"/>
      <w:bookmarkStart w:id="352" w:name="_Toc88641514"/>
      <w:bookmarkStart w:id="353" w:name="_Toc26355"/>
      <w:r>
        <w:rPr>
          <w:rFonts w:ascii="Times New Roman" w:eastAsia="黑体" w:hAnsi="Times New Roman"/>
          <w:bCs/>
          <w:sz w:val="32"/>
          <w:szCs w:val="26"/>
        </w:rPr>
        <w:t>五、推动协会自身建设，健全有效的联系沟通机制</w:t>
      </w:r>
      <w:bookmarkEnd w:id="350"/>
      <w:bookmarkEnd w:id="351"/>
      <w:bookmarkEnd w:id="352"/>
      <w:bookmarkEnd w:id="353"/>
    </w:p>
    <w:p w:rsidR="00D74912" w:rsidRDefault="00FE7708">
      <w:pPr>
        <w:adjustRightInd w:val="0"/>
        <w:snapToGrid w:val="0"/>
        <w:spacing w:line="360" w:lineRule="auto"/>
        <w:ind w:firstLineChars="200" w:firstLine="640"/>
        <w:rPr>
          <w:rFonts w:ascii="Times New Roman" w:eastAsia="仿宋" w:hAnsi="Times New Roman"/>
          <w:kern w:val="0"/>
          <w:sz w:val="32"/>
          <w:szCs w:val="32"/>
        </w:rPr>
      </w:pPr>
      <w:r>
        <w:rPr>
          <w:rFonts w:ascii="Times New Roman" w:eastAsia="仿宋" w:hAnsi="Times New Roman"/>
          <w:kern w:val="0"/>
          <w:sz w:val="32"/>
          <w:szCs w:val="32"/>
        </w:rPr>
        <w:t>市（县、区）行业组织要根据本规划实施要求，充分发挥行业组织的协调与服务作用，抓好行业自律，配合做好绿色发展、智能发展、创新发展、试点示范等行业高质量发展工作，注重充分发挥行业协会的桥梁纽带作用，深入调研、加强交流、评优促先，使协会成为完善市场机制的重要载体和规范市场竞争秩序的重要通道，推动企业行为自律，推动建立合法、公平、有序的市场竞争环境，助力本规划明确的各项工作任务顺利完成。</w:t>
      </w:r>
    </w:p>
    <w:p w:rsidR="00D74912" w:rsidRDefault="00FE7708">
      <w:pPr>
        <w:keepNext/>
        <w:keepLines/>
        <w:adjustRightInd w:val="0"/>
        <w:snapToGrid w:val="0"/>
        <w:spacing w:line="360" w:lineRule="auto"/>
        <w:ind w:firstLineChars="200" w:firstLine="640"/>
        <w:outlineLvl w:val="1"/>
        <w:rPr>
          <w:rFonts w:ascii="Times New Roman" w:eastAsia="黑体" w:hAnsi="Times New Roman"/>
          <w:bCs/>
          <w:sz w:val="32"/>
          <w:szCs w:val="26"/>
        </w:rPr>
      </w:pPr>
      <w:bookmarkStart w:id="354" w:name="_Toc18730"/>
      <w:bookmarkStart w:id="355" w:name="_Toc32752"/>
      <w:bookmarkStart w:id="356" w:name="_Toc20004"/>
      <w:bookmarkStart w:id="357" w:name="_Toc24366"/>
      <w:bookmarkStart w:id="358" w:name="_Toc29092"/>
      <w:bookmarkStart w:id="359" w:name="_Toc2342"/>
      <w:bookmarkStart w:id="360" w:name="_Toc2331"/>
      <w:bookmarkStart w:id="361" w:name="_Toc24769"/>
      <w:bookmarkStart w:id="362" w:name="_Toc89203823"/>
      <w:bookmarkStart w:id="363" w:name="_Toc13253"/>
      <w:bookmarkStart w:id="364" w:name="_Toc26246"/>
      <w:bookmarkStart w:id="365" w:name="_Toc18570"/>
      <w:bookmarkStart w:id="366" w:name="_Toc1662"/>
      <w:r>
        <w:rPr>
          <w:rFonts w:ascii="Times New Roman" w:eastAsia="黑体" w:hAnsi="Times New Roman"/>
          <w:bCs/>
          <w:sz w:val="32"/>
          <w:szCs w:val="26"/>
        </w:rPr>
        <w:t>六、重视宣传引导，营造良好氛围</w:t>
      </w:r>
      <w:bookmarkEnd w:id="354"/>
      <w:bookmarkEnd w:id="355"/>
      <w:bookmarkEnd w:id="356"/>
      <w:bookmarkEnd w:id="357"/>
      <w:bookmarkEnd w:id="358"/>
      <w:bookmarkEnd w:id="359"/>
      <w:bookmarkEnd w:id="360"/>
      <w:bookmarkEnd w:id="361"/>
      <w:bookmarkEnd w:id="362"/>
      <w:bookmarkEnd w:id="363"/>
      <w:bookmarkEnd w:id="364"/>
      <w:bookmarkEnd w:id="365"/>
      <w:bookmarkEnd w:id="366"/>
    </w:p>
    <w:p w:rsidR="00D74912" w:rsidRDefault="00FE7708">
      <w:pPr>
        <w:adjustRightInd w:val="0"/>
        <w:snapToGrid w:val="0"/>
        <w:spacing w:line="360" w:lineRule="auto"/>
        <w:ind w:firstLineChars="200" w:firstLine="640"/>
        <w:rPr>
          <w:rFonts w:ascii="Times New Roman" w:eastAsia="仿宋_GB2312" w:hAnsi="Times New Roman"/>
          <w:kern w:val="0"/>
          <w:sz w:val="32"/>
          <w:szCs w:val="32"/>
        </w:rPr>
      </w:pPr>
      <w:r>
        <w:rPr>
          <w:rFonts w:ascii="Times New Roman" w:eastAsia="仿宋" w:hAnsi="Times New Roman"/>
          <w:kern w:val="0"/>
          <w:sz w:val="32"/>
          <w:szCs w:val="32"/>
        </w:rPr>
        <w:t>围绕工作目标，结合社会普遍关注的诸如人居环境、机器换人等热点问题，充分利用报刊、电视、网络等媒体，开展针对性地宣传，使社会各界真正了解发展散装水泥、预拌混凝土和预拌砂浆的重大意义，促使干部群众传统观念的转变，形成良好的社会氛围。</w:t>
      </w:r>
    </w:p>
    <w:p w:rsidR="00D74912" w:rsidRDefault="00D74912">
      <w:pPr>
        <w:pStyle w:val="2"/>
        <w:rPr>
          <w:rFonts w:ascii="Times New Roman" w:hAnsi="Times New Roman"/>
        </w:rPr>
      </w:pPr>
    </w:p>
    <w:p w:rsidR="00D74912" w:rsidRDefault="00D74912">
      <w:pPr>
        <w:rPr>
          <w:rFonts w:ascii="Times New Roman" w:hAnsi="Times New Roman"/>
        </w:rPr>
      </w:pPr>
    </w:p>
    <w:sectPr w:rsidR="00D74912" w:rsidSect="00D749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677" w:rsidRDefault="00257677" w:rsidP="00D74912">
      <w:r>
        <w:separator/>
      </w:r>
    </w:p>
  </w:endnote>
  <w:endnote w:type="continuationSeparator" w:id="1">
    <w:p w:rsidR="00257677" w:rsidRDefault="00257677" w:rsidP="00D749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3EDB7213-4596-42CE-A41C-B2A7AE691E5C}"/>
    <w:embedBold r:id="rId2" w:subsetted="1" w:fontKey="{18EC9A5D-03BD-4E10-92E4-1F6E7D5F096B}"/>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3" w:subsetted="1" w:fontKey="{D024495B-FF4E-459F-B7BD-14980F36464E}"/>
  </w:font>
  <w:font w:name="楷体">
    <w:panose1 w:val="02010609060101010101"/>
    <w:charset w:val="86"/>
    <w:family w:val="modern"/>
    <w:pitch w:val="fixed"/>
    <w:sig w:usb0="800002BF" w:usb1="38CF7CFA" w:usb2="00000016" w:usb3="00000000" w:csb0="00040001" w:csb1="00000000"/>
    <w:embedBold r:id="rId4" w:subsetted="1" w:fontKey="{5BBEE990-CFEB-47FE-BC16-149108266A68}"/>
  </w:font>
  <w:font w:name="仿宋">
    <w:panose1 w:val="02010609060101010101"/>
    <w:charset w:val="86"/>
    <w:family w:val="modern"/>
    <w:pitch w:val="fixed"/>
    <w:sig w:usb0="800002BF" w:usb1="38CF7CFA" w:usb2="00000016" w:usb3="00000000" w:csb0="00040001" w:csb1="00000000"/>
    <w:embedRegular r:id="rId5" w:subsetted="1" w:fontKey="{913BED4F-1296-4287-9F0F-1E0E852B23F2}"/>
    <w:embedBold r:id="rId6" w:subsetted="1" w:fontKey="{7B9EFBAB-FF46-4AB2-A6D7-8DD33EC913AA}"/>
  </w:font>
  <w:font w:name="Calibri Light">
    <w:panose1 w:val="020F0302020204030204"/>
    <w:charset w:val="00"/>
    <w:family w:val="swiss"/>
    <w:pitch w:val="variable"/>
    <w:sig w:usb0="A00002EF" w:usb1="4000207B" w:usb2="00000000" w:usb3="00000000" w:csb0="0000019F" w:csb1="00000000"/>
  </w:font>
  <w:font w:name="新宋体">
    <w:panose1 w:val="02010609030101010101"/>
    <w:charset w:val="86"/>
    <w:family w:val="modern"/>
    <w:pitch w:val="fixed"/>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7" w:subsetted="1" w:fontKey="{E7710A4B-430A-4260-BE43-621389F899BF}"/>
  </w:font>
  <w:font w:name="方正大标宋_GBK">
    <w:charset w:val="86"/>
    <w:family w:val="auto"/>
    <w:pitch w:val="default"/>
    <w:sig w:usb0="00000000" w:usb1="00000000" w:usb2="00000000" w:usb3="00000000" w:csb0="00000000" w:csb1="00000000"/>
    <w:embedBold r:id="rId8" w:subsetted="1" w:fontKey="{E36B6195-0A7D-4AB0-A07E-FFC44F6723E0}"/>
  </w:font>
  <w:font w:name="方正楷体_GB2312">
    <w:charset w:val="86"/>
    <w:family w:val="auto"/>
    <w:pitch w:val="default"/>
    <w:sig w:usb0="00000000" w:usb1="00000000" w:usb2="00000000" w:usb3="00000000" w:csb0="00000000" w:csb1="00000000"/>
    <w:embedBold r:id="rId9" w:subsetted="1" w:fontKey="{C52A6E23-D7BE-4B49-87D8-725FBAD26044}"/>
  </w:font>
  <w:font w:name="方正仿宋_GB2312">
    <w:altName w:val="仿宋"/>
    <w:charset w:val="86"/>
    <w:family w:val="auto"/>
    <w:pitch w:val="default"/>
    <w:sig w:usb0="00000000" w:usb1="00000000" w:usb2="00000012" w:usb3="00000000" w:csb0="00040001" w:csb1="00000000"/>
    <w:embedRegular r:id="rId10" w:subsetted="1" w:fontKey="{9F6055B5-1544-41FB-86B2-BC572F0F34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912" w:rsidRDefault="007318F7">
    <w:pPr>
      <w:pStyle w:val="a5"/>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D74912" w:rsidRDefault="007318F7">
                <w:pPr>
                  <w:pStyle w:val="a5"/>
                </w:pPr>
                <w:r>
                  <w:rPr>
                    <w:rFonts w:hint="eastAsia"/>
                  </w:rPr>
                  <w:fldChar w:fldCharType="begin"/>
                </w:r>
                <w:r w:rsidR="00FE7708">
                  <w:rPr>
                    <w:rFonts w:hint="eastAsia"/>
                  </w:rPr>
                  <w:instrText xml:space="preserve"> PAGE  \* MERGEFORMAT </w:instrText>
                </w:r>
                <w:r>
                  <w:rPr>
                    <w:rFonts w:hint="eastAsia"/>
                  </w:rPr>
                  <w:fldChar w:fldCharType="separate"/>
                </w:r>
                <w:r w:rsidR="00E82BEF">
                  <w:rPr>
                    <w:noProof/>
                  </w:rPr>
                  <w:t>1</w:t>
                </w:r>
                <w:r>
                  <w:rPr>
                    <w:rFonts w:hint="eastAsia"/>
                  </w:rPr>
                  <w:fldChar w:fldCharType="end"/>
                </w:r>
              </w:p>
            </w:txbxContent>
          </v:textbox>
          <w10:wrap anchorx="margin"/>
        </v:shape>
      </w:pict>
    </w:r>
  </w:p>
  <w:p w:rsidR="00D74912" w:rsidRDefault="00D7491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912" w:rsidRDefault="007318F7">
    <w:pPr>
      <w:pStyle w:val="a5"/>
    </w:pPr>
    <w:r>
      <w:pict>
        <v:shapetype id="_x0000_t202" coordsize="21600,21600" o:spt="202" path="m,l,21600r21600,l21600,xe">
          <v:stroke joinstyle="miter"/>
          <v:path gradientshapeok="t" o:connecttype="rect"/>
        </v:shapetype>
        <v:shape id="_x0000_s1028"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filled="f" stroked="f" strokeweight=".5pt">
          <v:textbox style="mso-fit-shape-to-text:t" inset="0,0,0,0">
            <w:txbxContent>
              <w:p w:rsidR="00D74912" w:rsidRDefault="007318F7">
                <w:pPr>
                  <w:pStyle w:val="a5"/>
                  <w:rPr>
                    <w:sz w:val="24"/>
                    <w:szCs w:val="24"/>
                  </w:rPr>
                </w:pPr>
                <w:r>
                  <w:rPr>
                    <w:sz w:val="24"/>
                    <w:szCs w:val="24"/>
                  </w:rPr>
                  <w:fldChar w:fldCharType="begin"/>
                </w:r>
                <w:r w:rsidR="00FE7708">
                  <w:rPr>
                    <w:sz w:val="24"/>
                    <w:szCs w:val="24"/>
                  </w:rPr>
                  <w:instrText xml:space="preserve"> PAGE  \* MERGEFORMAT </w:instrText>
                </w:r>
                <w:r>
                  <w:rPr>
                    <w:sz w:val="24"/>
                    <w:szCs w:val="24"/>
                  </w:rPr>
                  <w:fldChar w:fldCharType="separate"/>
                </w:r>
                <w:r w:rsidR="00E82BEF">
                  <w:rPr>
                    <w:noProof/>
                    <w:sz w:val="24"/>
                    <w:szCs w:val="24"/>
                  </w:rPr>
                  <w:t>I</w:t>
                </w:r>
                <w:r>
                  <w:rPr>
                    <w:sz w:val="24"/>
                    <w:szCs w:val="24"/>
                  </w:rPr>
                  <w:fldChar w:fldCharType="end"/>
                </w:r>
              </w:p>
            </w:txbxContent>
          </v:textbox>
          <w10:wrap anchorx="margin"/>
        </v:shape>
      </w:pict>
    </w:r>
  </w:p>
  <w:p w:rsidR="00D74912" w:rsidRDefault="00D7491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912" w:rsidRDefault="007318F7">
    <w:pPr>
      <w:pStyle w:val="a5"/>
    </w:pPr>
    <w:r>
      <w:pict>
        <v:shapetype id="_x0000_t202" coordsize="21600,21600" o:spt="202" path="m,l,21600r21600,l21600,xe">
          <v:stroke joinstyle="miter"/>
          <v:path gradientshapeok="t" o:connecttype="rect"/>
        </v:shapetype>
        <v:shape id="_x0000_s1027"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D74912" w:rsidRDefault="007318F7">
                <w:pPr>
                  <w:pStyle w:val="a5"/>
                  <w:rPr>
                    <w:sz w:val="24"/>
                    <w:szCs w:val="24"/>
                  </w:rPr>
                </w:pPr>
                <w:r>
                  <w:rPr>
                    <w:sz w:val="24"/>
                    <w:szCs w:val="24"/>
                  </w:rPr>
                  <w:fldChar w:fldCharType="begin"/>
                </w:r>
                <w:r w:rsidR="00FE7708">
                  <w:rPr>
                    <w:sz w:val="24"/>
                    <w:szCs w:val="24"/>
                  </w:rPr>
                  <w:instrText xml:space="preserve"> PAGE  \* MERGEFORMAT </w:instrText>
                </w:r>
                <w:r>
                  <w:rPr>
                    <w:sz w:val="24"/>
                    <w:szCs w:val="24"/>
                  </w:rPr>
                  <w:fldChar w:fldCharType="separate"/>
                </w:r>
                <w:r w:rsidR="00E82BEF">
                  <w:rPr>
                    <w:noProof/>
                    <w:sz w:val="24"/>
                    <w:szCs w:val="24"/>
                  </w:rPr>
                  <w:t>17</w:t>
                </w:r>
                <w:r>
                  <w:rPr>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677" w:rsidRDefault="00257677" w:rsidP="00D74912">
      <w:r>
        <w:separator/>
      </w:r>
    </w:p>
  </w:footnote>
  <w:footnote w:type="continuationSeparator" w:id="1">
    <w:p w:rsidR="00257677" w:rsidRDefault="00257677" w:rsidP="00D749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4529E3"/>
    <w:multiLevelType w:val="singleLevel"/>
    <w:tmpl w:val="B14529E3"/>
    <w:lvl w:ilvl="0">
      <w:start w:val="3"/>
      <w:numFmt w:val="chineseCounting"/>
      <w:suff w:val="nothing"/>
      <w:lvlText w:val="（%1）"/>
      <w:lvlJc w:val="left"/>
      <w:rPr>
        <w:rFonts w:hint="eastAsia"/>
      </w:rPr>
    </w:lvl>
  </w:abstractNum>
  <w:abstractNum w:abstractNumId="1">
    <w:nsid w:val="24563E95"/>
    <w:multiLevelType w:val="singleLevel"/>
    <w:tmpl w:val="24563E95"/>
    <w:lvl w:ilvl="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349BE"/>
    <w:rsid w:val="00244BFB"/>
    <w:rsid w:val="00257677"/>
    <w:rsid w:val="0030401D"/>
    <w:rsid w:val="00471CB6"/>
    <w:rsid w:val="00517F19"/>
    <w:rsid w:val="006707AD"/>
    <w:rsid w:val="006F1B7C"/>
    <w:rsid w:val="006F3B75"/>
    <w:rsid w:val="00716B70"/>
    <w:rsid w:val="00725E37"/>
    <w:rsid w:val="007318F7"/>
    <w:rsid w:val="009349BE"/>
    <w:rsid w:val="00A9239F"/>
    <w:rsid w:val="00B647DE"/>
    <w:rsid w:val="00CB28BB"/>
    <w:rsid w:val="00D74912"/>
    <w:rsid w:val="00E553CC"/>
    <w:rsid w:val="00E82BEF"/>
    <w:rsid w:val="00EF748D"/>
    <w:rsid w:val="00FE7708"/>
    <w:rsid w:val="01082A1F"/>
    <w:rsid w:val="0293019C"/>
    <w:rsid w:val="04EA05CF"/>
    <w:rsid w:val="051368D8"/>
    <w:rsid w:val="05175801"/>
    <w:rsid w:val="070D0B30"/>
    <w:rsid w:val="0823601F"/>
    <w:rsid w:val="09BA0FC3"/>
    <w:rsid w:val="0B5B2C56"/>
    <w:rsid w:val="0B7F3940"/>
    <w:rsid w:val="0C645AF4"/>
    <w:rsid w:val="0C6640A3"/>
    <w:rsid w:val="0D1045B9"/>
    <w:rsid w:val="0D447909"/>
    <w:rsid w:val="0E851F84"/>
    <w:rsid w:val="0E984291"/>
    <w:rsid w:val="0EAC08BC"/>
    <w:rsid w:val="0EBE3FA8"/>
    <w:rsid w:val="0FC24A4B"/>
    <w:rsid w:val="11A44C7D"/>
    <w:rsid w:val="134A310C"/>
    <w:rsid w:val="13B96B29"/>
    <w:rsid w:val="15407816"/>
    <w:rsid w:val="16057048"/>
    <w:rsid w:val="161B0BBA"/>
    <w:rsid w:val="164C431D"/>
    <w:rsid w:val="168E7020"/>
    <w:rsid w:val="17F04C6C"/>
    <w:rsid w:val="19725ACB"/>
    <w:rsid w:val="1A220497"/>
    <w:rsid w:val="1AD65F8E"/>
    <w:rsid w:val="1AF902CD"/>
    <w:rsid w:val="1B6F5577"/>
    <w:rsid w:val="1CEB5A08"/>
    <w:rsid w:val="1D5E5039"/>
    <w:rsid w:val="1EA23078"/>
    <w:rsid w:val="1F3C36F1"/>
    <w:rsid w:val="1F9363DE"/>
    <w:rsid w:val="20281295"/>
    <w:rsid w:val="221479DF"/>
    <w:rsid w:val="236B07FE"/>
    <w:rsid w:val="238E6718"/>
    <w:rsid w:val="2438146A"/>
    <w:rsid w:val="2573390C"/>
    <w:rsid w:val="264E5657"/>
    <w:rsid w:val="26D45EE7"/>
    <w:rsid w:val="2824557C"/>
    <w:rsid w:val="28F3589F"/>
    <w:rsid w:val="2BDF11BD"/>
    <w:rsid w:val="2BFA219C"/>
    <w:rsid w:val="2C52405C"/>
    <w:rsid w:val="2D5551E2"/>
    <w:rsid w:val="2E1F47D9"/>
    <w:rsid w:val="2E42503C"/>
    <w:rsid w:val="2E456A2F"/>
    <w:rsid w:val="2F5E686F"/>
    <w:rsid w:val="30AC51A0"/>
    <w:rsid w:val="30DC1CEF"/>
    <w:rsid w:val="30FE2B88"/>
    <w:rsid w:val="31AD53E4"/>
    <w:rsid w:val="31EB39D1"/>
    <w:rsid w:val="333806AA"/>
    <w:rsid w:val="36492D8D"/>
    <w:rsid w:val="37B00202"/>
    <w:rsid w:val="385542B8"/>
    <w:rsid w:val="38FE09F5"/>
    <w:rsid w:val="396F7738"/>
    <w:rsid w:val="3A7C5EDD"/>
    <w:rsid w:val="3B1A12EE"/>
    <w:rsid w:val="3DA2325D"/>
    <w:rsid w:val="3DA52B6A"/>
    <w:rsid w:val="3DAD67AF"/>
    <w:rsid w:val="3E1B7C8C"/>
    <w:rsid w:val="3EBF3373"/>
    <w:rsid w:val="3ED738DE"/>
    <w:rsid w:val="401C7851"/>
    <w:rsid w:val="408054C9"/>
    <w:rsid w:val="411539CB"/>
    <w:rsid w:val="41E36B55"/>
    <w:rsid w:val="41FD6A86"/>
    <w:rsid w:val="42A426A8"/>
    <w:rsid w:val="42C54363"/>
    <w:rsid w:val="439C1E8C"/>
    <w:rsid w:val="449410AE"/>
    <w:rsid w:val="44FD2946"/>
    <w:rsid w:val="45535729"/>
    <w:rsid w:val="45EF7837"/>
    <w:rsid w:val="465E3877"/>
    <w:rsid w:val="469C466F"/>
    <w:rsid w:val="46C61474"/>
    <w:rsid w:val="494C0C88"/>
    <w:rsid w:val="4B266E56"/>
    <w:rsid w:val="4CD51E93"/>
    <w:rsid w:val="4EA10825"/>
    <w:rsid w:val="4EB019AD"/>
    <w:rsid w:val="4EC20EBB"/>
    <w:rsid w:val="4EC3182B"/>
    <w:rsid w:val="4F165E5F"/>
    <w:rsid w:val="4FBC1EAA"/>
    <w:rsid w:val="4FCF5461"/>
    <w:rsid w:val="50825D5F"/>
    <w:rsid w:val="51426D81"/>
    <w:rsid w:val="51FF28E7"/>
    <w:rsid w:val="527C1C9E"/>
    <w:rsid w:val="52B05402"/>
    <w:rsid w:val="54134F7C"/>
    <w:rsid w:val="54A004D1"/>
    <w:rsid w:val="57092054"/>
    <w:rsid w:val="57273E4F"/>
    <w:rsid w:val="575D6E26"/>
    <w:rsid w:val="578501A0"/>
    <w:rsid w:val="584C3A46"/>
    <w:rsid w:val="589E2DBA"/>
    <w:rsid w:val="58FC6629"/>
    <w:rsid w:val="59FF3F68"/>
    <w:rsid w:val="5A685031"/>
    <w:rsid w:val="5A8100F6"/>
    <w:rsid w:val="5AC836E3"/>
    <w:rsid w:val="5AE06E0F"/>
    <w:rsid w:val="5D2437AD"/>
    <w:rsid w:val="5D692E72"/>
    <w:rsid w:val="5D957D11"/>
    <w:rsid w:val="5D9D7BB3"/>
    <w:rsid w:val="605C3CBF"/>
    <w:rsid w:val="62126D29"/>
    <w:rsid w:val="621960A3"/>
    <w:rsid w:val="626E4FF8"/>
    <w:rsid w:val="62AB43D1"/>
    <w:rsid w:val="62D76B9F"/>
    <w:rsid w:val="63E87188"/>
    <w:rsid w:val="64F42A7C"/>
    <w:rsid w:val="6593468C"/>
    <w:rsid w:val="66946BFE"/>
    <w:rsid w:val="670E1F27"/>
    <w:rsid w:val="67137C8C"/>
    <w:rsid w:val="67FD21DE"/>
    <w:rsid w:val="6BAB4CD4"/>
    <w:rsid w:val="6BDB062D"/>
    <w:rsid w:val="6C4B544F"/>
    <w:rsid w:val="6CDE3F67"/>
    <w:rsid w:val="6DA050FD"/>
    <w:rsid w:val="6E774886"/>
    <w:rsid w:val="70DF6B7F"/>
    <w:rsid w:val="71523D59"/>
    <w:rsid w:val="71994537"/>
    <w:rsid w:val="73480E94"/>
    <w:rsid w:val="740F4B18"/>
    <w:rsid w:val="74A328AC"/>
    <w:rsid w:val="75417FD3"/>
    <w:rsid w:val="76342A34"/>
    <w:rsid w:val="7A4A2864"/>
    <w:rsid w:val="7A4E16D3"/>
    <w:rsid w:val="7A4F585B"/>
    <w:rsid w:val="7A544338"/>
    <w:rsid w:val="7B6E4380"/>
    <w:rsid w:val="7BDD3F09"/>
    <w:rsid w:val="7C5848FD"/>
    <w:rsid w:val="7CD122AE"/>
    <w:rsid w:val="7E2E33C0"/>
    <w:rsid w:val="7E356A6B"/>
    <w:rsid w:val="7E5F70C7"/>
    <w:rsid w:val="7F2F2C4E"/>
    <w:rsid w:val="7F9A43CC"/>
    <w:rsid w:val="7FBA24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unhideWhenUsed="1"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D74912"/>
    <w:pPr>
      <w:widowControl w:val="0"/>
      <w:jc w:val="both"/>
    </w:pPr>
    <w:rPr>
      <w:rFonts w:ascii="Calibri" w:hAnsi="Calibri"/>
      <w:kern w:val="2"/>
      <w:sz w:val="21"/>
      <w:szCs w:val="22"/>
    </w:rPr>
  </w:style>
  <w:style w:type="paragraph" w:styleId="1">
    <w:name w:val="heading 1"/>
    <w:basedOn w:val="a"/>
    <w:next w:val="a"/>
    <w:qFormat/>
    <w:rsid w:val="00D74912"/>
    <w:pPr>
      <w:spacing w:beforeAutospacing="1" w:afterAutospacing="1"/>
      <w:jc w:val="left"/>
      <w:outlineLvl w:val="0"/>
    </w:pPr>
    <w:rPr>
      <w:rFonts w:ascii="宋体" w:hAnsi="宋体" w:hint="eastAsia"/>
      <w:b/>
      <w:bCs/>
      <w:kern w:val="44"/>
      <w:sz w:val="48"/>
      <w:szCs w:val="48"/>
    </w:rPr>
  </w:style>
  <w:style w:type="paragraph" w:styleId="20">
    <w:name w:val="heading 2"/>
    <w:basedOn w:val="a"/>
    <w:next w:val="a"/>
    <w:semiHidden/>
    <w:unhideWhenUsed/>
    <w:qFormat/>
    <w:rsid w:val="00D74912"/>
    <w:pPr>
      <w:keepNext/>
      <w:keepLines/>
      <w:spacing w:before="260" w:after="260" w:line="413" w:lineRule="auto"/>
      <w:outlineLvl w:val="1"/>
    </w:pPr>
    <w:rPr>
      <w:rFonts w:ascii="Arial" w:eastAsia="黑体" w:hAnsi="Arial"/>
      <w:b/>
      <w:sz w:val="32"/>
    </w:rPr>
  </w:style>
  <w:style w:type="paragraph" w:styleId="3">
    <w:name w:val="heading 3"/>
    <w:basedOn w:val="a"/>
    <w:next w:val="a"/>
    <w:semiHidden/>
    <w:unhideWhenUsed/>
    <w:qFormat/>
    <w:rsid w:val="00D74912"/>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unhideWhenUsed/>
    <w:qFormat/>
    <w:rsid w:val="00D74912"/>
    <w:pPr>
      <w:spacing w:after="120" w:line="480" w:lineRule="auto"/>
      <w:ind w:left="420"/>
    </w:pPr>
    <w:rPr>
      <w:szCs w:val="24"/>
    </w:rPr>
  </w:style>
  <w:style w:type="paragraph" w:styleId="a3">
    <w:name w:val="annotation text"/>
    <w:basedOn w:val="a"/>
    <w:link w:val="Char"/>
    <w:qFormat/>
    <w:rsid w:val="00D74912"/>
    <w:pPr>
      <w:jc w:val="left"/>
    </w:pPr>
    <w:rPr>
      <w:rFonts w:asciiTheme="minorHAnsi" w:eastAsiaTheme="minorEastAsia" w:hAnsiTheme="minorHAnsi" w:cstheme="minorBidi"/>
      <w:szCs w:val="24"/>
    </w:rPr>
  </w:style>
  <w:style w:type="paragraph" w:styleId="30">
    <w:name w:val="toc 3"/>
    <w:basedOn w:val="a"/>
    <w:next w:val="a"/>
    <w:uiPriority w:val="39"/>
    <w:qFormat/>
    <w:rsid w:val="00D74912"/>
    <w:pPr>
      <w:ind w:leftChars="400" w:left="840"/>
    </w:pPr>
  </w:style>
  <w:style w:type="paragraph" w:styleId="a4">
    <w:name w:val="Balloon Text"/>
    <w:basedOn w:val="a"/>
    <w:link w:val="Char0"/>
    <w:qFormat/>
    <w:rsid w:val="00D74912"/>
    <w:rPr>
      <w:sz w:val="18"/>
      <w:szCs w:val="18"/>
    </w:rPr>
  </w:style>
  <w:style w:type="paragraph" w:styleId="a5">
    <w:name w:val="footer"/>
    <w:link w:val="Char1"/>
    <w:uiPriority w:val="99"/>
    <w:qFormat/>
    <w:rsid w:val="00D74912"/>
    <w:pPr>
      <w:widowControl w:val="0"/>
      <w:tabs>
        <w:tab w:val="center" w:pos="4153"/>
        <w:tab w:val="right" w:pos="8306"/>
      </w:tabs>
      <w:snapToGrid w:val="0"/>
    </w:pPr>
    <w:rPr>
      <w:kern w:val="2"/>
      <w:sz w:val="18"/>
      <w:szCs w:val="18"/>
    </w:rPr>
  </w:style>
  <w:style w:type="paragraph" w:styleId="a6">
    <w:name w:val="header"/>
    <w:basedOn w:val="a"/>
    <w:link w:val="Char2"/>
    <w:qFormat/>
    <w:rsid w:val="00D749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D74912"/>
    <w:rPr>
      <w:rFonts w:eastAsia="华文楷体"/>
      <w:b/>
      <w:sz w:val="32"/>
    </w:rPr>
  </w:style>
  <w:style w:type="paragraph" w:styleId="21">
    <w:name w:val="toc 2"/>
    <w:basedOn w:val="a"/>
    <w:next w:val="a"/>
    <w:uiPriority w:val="39"/>
    <w:qFormat/>
    <w:rsid w:val="00D74912"/>
    <w:pPr>
      <w:ind w:leftChars="200" w:left="420"/>
    </w:pPr>
    <w:rPr>
      <w:rFonts w:eastAsia="仿宋_GB2312"/>
      <w:sz w:val="30"/>
    </w:rPr>
  </w:style>
  <w:style w:type="table" w:styleId="a7">
    <w:name w:val="Table Grid"/>
    <w:basedOn w:val="a1"/>
    <w:qFormat/>
    <w:rsid w:val="00D749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qFormat/>
    <w:rsid w:val="00D74912"/>
    <w:rPr>
      <w:i/>
    </w:rPr>
  </w:style>
  <w:style w:type="character" w:styleId="a9">
    <w:name w:val="Hyperlink"/>
    <w:basedOn w:val="a0"/>
    <w:uiPriority w:val="99"/>
    <w:qFormat/>
    <w:rsid w:val="00D74912"/>
    <w:rPr>
      <w:color w:val="0000FF"/>
      <w:u w:val="single"/>
    </w:rPr>
  </w:style>
  <w:style w:type="paragraph" w:customStyle="1" w:styleId="aa">
    <w:name w:val="一级标题"/>
    <w:basedOn w:val="1"/>
    <w:next w:val="ab"/>
    <w:qFormat/>
    <w:rsid w:val="00D74912"/>
    <w:pPr>
      <w:keepNext/>
      <w:keepLines/>
      <w:adjustRightInd w:val="0"/>
      <w:snapToGrid w:val="0"/>
      <w:spacing w:beforeAutospacing="0" w:afterAutospacing="0" w:line="600" w:lineRule="exact"/>
      <w:textAlignment w:val="baseline"/>
      <w:outlineLvl w:val="1"/>
    </w:pPr>
    <w:rPr>
      <w:color w:val="000000"/>
      <w:spacing w:val="-2"/>
      <w:sz w:val="32"/>
      <w:szCs w:val="32"/>
    </w:rPr>
  </w:style>
  <w:style w:type="paragraph" w:customStyle="1" w:styleId="ab">
    <w:name w:val="二级标题"/>
    <w:basedOn w:val="20"/>
    <w:next w:val="ac"/>
    <w:qFormat/>
    <w:rsid w:val="00D74912"/>
    <w:pPr>
      <w:adjustRightInd w:val="0"/>
      <w:snapToGrid w:val="0"/>
      <w:spacing w:line="600" w:lineRule="exact"/>
      <w:outlineLvl w:val="2"/>
    </w:pPr>
    <w:rPr>
      <w:rFonts w:ascii="Calibri" w:eastAsia="楷体" w:hAnsi="Calibri"/>
      <w:bCs/>
      <w:spacing w:val="-2"/>
      <w:szCs w:val="28"/>
    </w:rPr>
  </w:style>
  <w:style w:type="paragraph" w:customStyle="1" w:styleId="ac">
    <w:name w:val="建材院正文"/>
    <w:basedOn w:val="a"/>
    <w:qFormat/>
    <w:rsid w:val="00D74912"/>
    <w:pPr>
      <w:adjustRightInd w:val="0"/>
      <w:snapToGrid w:val="0"/>
      <w:spacing w:line="600" w:lineRule="exact"/>
      <w:ind w:firstLineChars="200" w:firstLine="883"/>
    </w:pPr>
    <w:rPr>
      <w:rFonts w:ascii="宋体" w:eastAsia="仿宋" w:hAnsi="宋体" w:hint="eastAsia"/>
      <w:bCs/>
      <w:color w:val="000000" w:themeColor="text1"/>
      <w:sz w:val="28"/>
      <w:szCs w:val="32"/>
    </w:rPr>
  </w:style>
  <w:style w:type="paragraph" w:customStyle="1" w:styleId="ad">
    <w:name w:val="建材院一级标题"/>
    <w:basedOn w:val="a"/>
    <w:qFormat/>
    <w:rsid w:val="00D74912"/>
    <w:pPr>
      <w:keepNext/>
      <w:keepLines/>
      <w:tabs>
        <w:tab w:val="left" w:pos="3686"/>
      </w:tabs>
      <w:adjustRightInd w:val="0"/>
      <w:spacing w:line="600" w:lineRule="exact"/>
      <w:jc w:val="left"/>
      <w:textAlignment w:val="baseline"/>
      <w:outlineLvl w:val="1"/>
    </w:pPr>
    <w:rPr>
      <w:rFonts w:ascii="Times New Roman" w:eastAsia="黑体" w:hAnsi="Times New Roman" w:hint="eastAsia"/>
      <w:b/>
      <w:bCs/>
      <w:kern w:val="0"/>
      <w:sz w:val="32"/>
      <w:szCs w:val="21"/>
    </w:rPr>
  </w:style>
  <w:style w:type="paragraph" w:customStyle="1" w:styleId="ae">
    <w:name w:val="建材院二级标题"/>
    <w:basedOn w:val="20"/>
    <w:next w:val="ac"/>
    <w:qFormat/>
    <w:rsid w:val="00D74912"/>
    <w:pPr>
      <w:adjustRightInd w:val="0"/>
      <w:snapToGrid w:val="0"/>
      <w:spacing w:line="600" w:lineRule="exact"/>
      <w:outlineLvl w:val="2"/>
    </w:pPr>
    <w:rPr>
      <w:rFonts w:ascii="Calibri" w:eastAsia="楷体" w:hAnsi="Calibri"/>
      <w:bCs/>
      <w:spacing w:val="-2"/>
      <w:szCs w:val="28"/>
    </w:rPr>
  </w:style>
  <w:style w:type="paragraph" w:customStyle="1" w:styleId="af">
    <w:name w:val="建材院表格样式"/>
    <w:basedOn w:val="a"/>
    <w:qFormat/>
    <w:rsid w:val="00D74912"/>
    <w:pPr>
      <w:adjustRightInd w:val="0"/>
      <w:snapToGrid w:val="0"/>
      <w:spacing w:line="600" w:lineRule="exact"/>
    </w:pPr>
    <w:rPr>
      <w:rFonts w:ascii="仿宋" w:eastAsia="仿宋" w:hAnsi="仿宋" w:hint="eastAsia"/>
      <w:sz w:val="28"/>
      <w:szCs w:val="28"/>
    </w:rPr>
  </w:style>
  <w:style w:type="character" w:customStyle="1" w:styleId="Char">
    <w:name w:val="批注文字 Char"/>
    <w:basedOn w:val="a0"/>
    <w:link w:val="a3"/>
    <w:qFormat/>
    <w:rsid w:val="00D74912"/>
    <w:rPr>
      <w:rFonts w:asciiTheme="minorHAnsi" w:eastAsiaTheme="minorEastAsia" w:hAnsiTheme="minorHAnsi" w:cstheme="minorBidi"/>
      <w:kern w:val="2"/>
      <w:sz w:val="21"/>
      <w:szCs w:val="24"/>
    </w:rPr>
  </w:style>
  <w:style w:type="paragraph" w:customStyle="1" w:styleId="11">
    <w:name w:val="修订1"/>
    <w:hidden/>
    <w:uiPriority w:val="99"/>
    <w:unhideWhenUsed/>
    <w:qFormat/>
    <w:rsid w:val="00D74912"/>
    <w:rPr>
      <w:rFonts w:ascii="Calibri" w:hAnsi="Calibri"/>
      <w:kern w:val="2"/>
      <w:sz w:val="21"/>
      <w:szCs w:val="22"/>
    </w:rPr>
  </w:style>
  <w:style w:type="character" w:customStyle="1" w:styleId="Char0">
    <w:name w:val="批注框文本 Char"/>
    <w:basedOn w:val="a0"/>
    <w:link w:val="a4"/>
    <w:qFormat/>
    <w:rsid w:val="00D74912"/>
    <w:rPr>
      <w:rFonts w:ascii="Calibri" w:hAnsi="Calibri"/>
      <w:kern w:val="2"/>
      <w:sz w:val="18"/>
      <w:szCs w:val="18"/>
    </w:rPr>
  </w:style>
  <w:style w:type="character" w:customStyle="1" w:styleId="Char2">
    <w:name w:val="页眉 Char"/>
    <w:basedOn w:val="a0"/>
    <w:link w:val="a6"/>
    <w:qFormat/>
    <w:rsid w:val="00D74912"/>
    <w:rPr>
      <w:rFonts w:ascii="Calibri" w:hAnsi="Calibri"/>
      <w:kern w:val="2"/>
      <w:sz w:val="18"/>
      <w:szCs w:val="18"/>
    </w:rPr>
  </w:style>
  <w:style w:type="character" w:customStyle="1" w:styleId="Char1">
    <w:name w:val="页脚 Char"/>
    <w:basedOn w:val="a0"/>
    <w:link w:val="a5"/>
    <w:uiPriority w:val="99"/>
    <w:qFormat/>
    <w:rsid w:val="00D74912"/>
    <w:rPr>
      <w:kern w:val="2"/>
      <w:sz w:val="18"/>
      <w:szCs w:val="18"/>
    </w:rPr>
  </w:style>
  <w:style w:type="paragraph" w:customStyle="1" w:styleId="TOC1">
    <w:name w:val="TOC 标题1"/>
    <w:basedOn w:val="1"/>
    <w:next w:val="a"/>
    <w:uiPriority w:val="39"/>
    <w:semiHidden/>
    <w:unhideWhenUsed/>
    <w:qFormat/>
    <w:rsid w:val="00D74912"/>
    <w:pPr>
      <w:keepNext/>
      <w:keepLines/>
      <w:widowControl/>
      <w:spacing w:before="480" w:beforeAutospacing="0" w:afterAutospacing="0" w:line="276" w:lineRule="auto"/>
      <w:outlineLvl w:val="9"/>
    </w:pPr>
    <w:rPr>
      <w:rFonts w:asciiTheme="majorHAnsi" w:eastAsiaTheme="majorEastAsia" w:hAnsiTheme="majorHAnsi" w:cstheme="majorBidi" w:hint="default"/>
      <w:color w:val="2E74B5" w:themeColor="accent1" w:themeShade="BF"/>
      <w:kern w:val="0"/>
      <w:sz w:val="28"/>
      <w:szCs w:val="28"/>
    </w:rPr>
  </w:style>
  <w:style w:type="character" w:customStyle="1" w:styleId="font21">
    <w:name w:val="font21"/>
    <w:qFormat/>
    <w:rsid w:val="00D74912"/>
    <w:rPr>
      <w:rFonts w:ascii="Times New Roman" w:hAnsi="Times New Roman" w:cs="Times New Roman" w:hint="default"/>
      <w:color w:val="000000"/>
      <w:sz w:val="24"/>
      <w:szCs w:val="24"/>
      <w:u w:val="none"/>
    </w:rPr>
  </w:style>
  <w:style w:type="paragraph" w:customStyle="1" w:styleId="NormalIndent">
    <w:name w:val="NormalIndent"/>
    <w:link w:val="NormalIndentChar"/>
    <w:qFormat/>
    <w:rsid w:val="00D74912"/>
    <w:pPr>
      <w:widowControl w:val="0"/>
      <w:ind w:firstLineChars="200" w:firstLine="420"/>
      <w:jc w:val="both"/>
      <w:textAlignment w:val="baseline"/>
    </w:pPr>
    <w:rPr>
      <w:kern w:val="2"/>
      <w:sz w:val="21"/>
      <w:szCs w:val="24"/>
    </w:rPr>
  </w:style>
  <w:style w:type="paragraph" w:customStyle="1" w:styleId="WPSOffice1">
    <w:name w:val="WPSOffice手动目录 1"/>
    <w:link w:val="WPSOffice1Char"/>
    <w:qFormat/>
    <w:rsid w:val="00D74912"/>
    <w:rPr>
      <w:rFonts w:eastAsia="新宋体"/>
      <w:b/>
      <w:sz w:val="32"/>
    </w:rPr>
  </w:style>
  <w:style w:type="paragraph" w:customStyle="1" w:styleId="WPSOffice2">
    <w:name w:val="WPSOffice手动目录 2"/>
    <w:qFormat/>
    <w:rsid w:val="00D74912"/>
    <w:pPr>
      <w:ind w:leftChars="200" w:left="200"/>
    </w:pPr>
    <w:rPr>
      <w:rFonts w:eastAsia="楷体"/>
      <w:sz w:val="30"/>
    </w:rPr>
  </w:style>
  <w:style w:type="character" w:customStyle="1" w:styleId="NormalIndentChar">
    <w:name w:val="NormalIndent Char"/>
    <w:link w:val="NormalIndent"/>
    <w:qFormat/>
    <w:rsid w:val="00D74912"/>
    <w:rPr>
      <w:rFonts w:ascii="Times New Roman" w:eastAsia="宋体" w:hAnsi="Times New Roman" w:cs="Times New Roman"/>
      <w:kern w:val="2"/>
      <w:sz w:val="21"/>
      <w:szCs w:val="24"/>
      <w:lang w:val="en-US" w:eastAsia="zh-CN" w:bidi="ar-SA"/>
    </w:rPr>
  </w:style>
  <w:style w:type="character" w:customStyle="1" w:styleId="WPSOffice1Char">
    <w:name w:val="WPSOffice手动目录 1 Char"/>
    <w:link w:val="WPSOffice1"/>
    <w:qFormat/>
    <w:rsid w:val="00D74912"/>
    <w:rPr>
      <w:rFonts w:ascii="Times New Roman" w:eastAsia="新宋体" w:hAnsi="Times New Roman"/>
      <w:b/>
      <w:sz w:val="32"/>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it.gov.cn/api-gateway/jpaas-web-server/front/document/file-download?fileUrl=/cms_files/filemanager/1226211233/attach/202012/b73f28f6677d44e0be019189be720eeb.pdf&amp;fileName=%E5%B7%A5%E4%B8%9A%E7%94%A8%E6%B0%B4%E5%AE%9A%E9%A2%9D%EF%BC%9A%E9%A2%84%E6%8B%8C%E6%B7%B7%E5%87%9D%E5%9C%9F%E5%8F%8A%E6%B0%B4%E6%B3%A5%E5%88%B6%E5%93%81.pdf" TargetMode="Externa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javascript:;" TargetMode="External"/><Relationship Id="rId2" Type="http://schemas.openxmlformats.org/officeDocument/2006/relationships/customXml" Target="../customXml/item2.xml"/><Relationship Id="rId16" Type="http://schemas.openxmlformats.org/officeDocument/2006/relationships/hyperlink" Target="https://www.miit.gov.cn/api-gateway/jpaas-web-server/front/document/file-download?fileUrl=/cms_files/filemanager/1226211233/attach/202012/b73f28f6677d44e0be019189be720eeb.pdf&amp;fileName=%E5%B7%A5%E4%B8%9A%E7%94%A8%E6%B0%B4%E5%AE%9A%E9%A2%9D%EF%BC%9A%E9%A2%84%E6%8B%8C%E6%B7%B7%E5%87%9D%E5%9C%9F%E5%8F%8A%E6%B0%B4%E6%B3%A5%E5%88%B6%E5%93%8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miit.gov.cn/api-gateway/jpaas-web-server/front/document/file-download?fileUrl=/cms_files/filemanager/1226211233/attach/202012/b73f28f6677d44e0be019189be720eeb.pdf&amp;fileName=%E5%B7%A5%E4%B8%9A%E7%94%A8%E6%B0%B4%E5%AE%9A%E9%A2%9D%EF%BC%9A%E9%A2%84%E6%8B%8C%E6%B7%B7%E5%87%9D%E5%9C%9F%E5%8F%8A%E6%B0%B4%E6%B3%A5%E5%88%B6%E5%93%81.pdf"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miit.gov.cn/api-gateway/jpaas-web-server/front/document/file-download?fileUrl=/cms_files/filemanager/1226211233/attach/202012/b73f28f6677d44e0be019189be720eeb.pdf&amp;fileName=%E5%B7%A5%E4%B8%9A%E7%94%A8%E6%B0%B4%E5%AE%9A%E9%A2%9D%EF%BC%9A%E9%A2%84%E6%8B%8C%E6%B7%B7%E5%87%9D%E5%9C%9F%E5%8F%8A%E6%B0%B4%E6%B3%A5%E5%88%B6%E5%93%8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E09F14-06D4-498A-BC8D-12B42DCE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49</Pages>
  <Words>4003</Words>
  <Characters>22823</Characters>
  <Application>Microsoft Office Word</Application>
  <DocSecurity>0</DocSecurity>
  <Lines>190</Lines>
  <Paragraphs>53</Paragraphs>
  <ScaleCrop>false</ScaleCrop>
  <Company>Microsoft</Company>
  <LinksUpToDate>false</LinksUpToDate>
  <CharactersWithSpaces>26773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6</cp:revision>
  <cp:lastPrinted>2022-01-04T09:08:00Z</cp:lastPrinted>
  <dcterms:created xsi:type="dcterms:W3CDTF">2021-11-02T00:58:00Z</dcterms:created>
  <dcterms:modified xsi:type="dcterms:W3CDTF">2026-01-01T08:44:00Z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1E23CEC6022B4E0A952B20DDB2A6C0E8</vt:lpwstr>
  </property>
</Properties>
</file>